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DE1" w:rsidP="16AA2094" w:rsidRDefault="00F97212" w14:paraId="00000001" w14:textId="11403042">
      <w:pPr>
        <w:pStyle w:val="Normal0"/>
        <w:spacing w:before="120"/>
        <w:jc w:val="center"/>
        <w:rPr>
          <w:b/>
          <w:bCs/>
          <w:color w:val="000000"/>
          <w:sz w:val="28"/>
          <w:szCs w:val="28"/>
        </w:rPr>
      </w:pPr>
      <w:r w:rsidRPr="7019E549">
        <w:rPr>
          <w:b/>
          <w:bCs/>
          <w:color w:val="000000" w:themeColor="text1"/>
          <w:sz w:val="28"/>
          <w:szCs w:val="28"/>
        </w:rPr>
        <w:t xml:space="preserve">System-Wide Program Portfolio Evidence Review: </w:t>
      </w:r>
    </w:p>
    <w:p w:rsidR="003C2DE1" w:rsidP="16AA2094" w:rsidRDefault="14B505B1" w14:paraId="00000002" w14:textId="0BEDBF0E">
      <w:pPr>
        <w:pStyle w:val="Normal0"/>
        <w:spacing w:before="120" w:after="240"/>
        <w:jc w:val="center"/>
        <w:rPr>
          <w:b w:val="1"/>
          <w:bCs w:val="1"/>
          <w:sz w:val="28"/>
          <w:szCs w:val="28"/>
        </w:rPr>
      </w:pPr>
      <w:r w:rsidRPr="2BBAD1C1" w:rsidR="14B505B1">
        <w:rPr>
          <w:b w:val="1"/>
          <w:bCs w:val="1"/>
          <w:color w:val="000000" w:themeColor="text1" w:themeTint="FF" w:themeShade="FF"/>
          <w:sz w:val="28"/>
          <w:szCs w:val="28"/>
        </w:rPr>
        <w:t>Initial Application</w:t>
      </w:r>
      <w:r w:rsidRPr="2BBAD1C1" w:rsidR="2997D653">
        <w:rPr>
          <w:b w:val="1"/>
          <w:bCs w:val="1"/>
          <w:color w:val="000000" w:themeColor="text1" w:themeTint="FF" w:themeShade="FF"/>
          <w:sz w:val="28"/>
          <w:szCs w:val="28"/>
        </w:rPr>
        <w:t xml:space="preserve"> – V</w:t>
      </w:r>
      <w:r w:rsidRPr="2BBAD1C1" w:rsidR="14B505B1">
        <w:rPr>
          <w:b w:val="1"/>
          <w:bCs w:val="1"/>
          <w:sz w:val="28"/>
          <w:szCs w:val="28"/>
        </w:rPr>
        <w:t>2</w:t>
      </w:r>
      <w:r w:rsidRPr="2BBAD1C1" w:rsidR="3AD828C7">
        <w:rPr>
          <w:b w:val="1"/>
          <w:bCs w:val="1"/>
          <w:sz w:val="28"/>
          <w:szCs w:val="28"/>
        </w:rPr>
        <w:t>024</w:t>
      </w:r>
    </w:p>
    <w:tbl>
      <w:tblPr>
        <w:tblW w:w="10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5215"/>
        <w:gridCol w:w="2121"/>
        <w:gridCol w:w="3414"/>
      </w:tblGrid>
      <w:tr w:rsidR="003C2DE1" w14:paraId="79E5CF66" w14:textId="77777777">
        <w:trPr>
          <w:trHeight w:val="732"/>
        </w:trPr>
        <w:tc>
          <w:tcPr>
            <w:tcW w:w="10750" w:type="dxa"/>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115" w:type="dxa"/>
              <w:bottom w:w="0" w:type="dxa"/>
              <w:right w:w="115" w:type="dxa"/>
            </w:tcMar>
            <w:vAlign w:val="center"/>
          </w:tcPr>
          <w:p w:rsidR="003C2DE1" w:rsidRDefault="00F97212" w14:paraId="00000003" w14:textId="77777777">
            <w:pPr>
              <w:pStyle w:val="Normal0"/>
              <w:spacing w:before="60"/>
              <w:rPr>
                <w:b/>
                <w:sz w:val="24"/>
                <w:szCs w:val="24"/>
              </w:rPr>
            </w:pPr>
            <w:r>
              <w:rPr>
                <w:b/>
                <w:color w:val="000000"/>
              </w:rPr>
              <w:t>System User Identification</w:t>
            </w:r>
          </w:p>
          <w:p w:rsidR="003C2DE1" w:rsidRDefault="00F97212" w14:paraId="00000004" w14:textId="77777777">
            <w:pPr>
              <w:pStyle w:val="Normal0"/>
              <w:spacing w:before="60" w:after="60"/>
              <w:rPr>
                <w:rFonts w:ascii="Times New Roman" w:hAnsi="Times New Roman" w:eastAsia="Times New Roman" w:cs="Times New Roman"/>
                <w:sz w:val="18"/>
                <w:szCs w:val="18"/>
              </w:rPr>
            </w:pPr>
            <w:r>
              <w:rPr>
                <w:i/>
                <w:color w:val="000000"/>
                <w:sz w:val="18"/>
                <w:szCs w:val="18"/>
              </w:rPr>
              <w:t>A “system” is an entity comprising multiple early childhood programs, operating under the same policies and procedures.</w:t>
            </w:r>
          </w:p>
        </w:tc>
      </w:tr>
      <w:tr w:rsidR="003C2DE1" w14:paraId="5F1A2DC2" w14:textId="77777777">
        <w:trPr>
          <w:trHeight w:val="501"/>
        </w:trPr>
        <w:tc>
          <w:tcPr>
            <w:tcW w:w="52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07" w14:textId="77777777">
            <w:pPr>
              <w:pStyle w:val="Normal0"/>
              <w:spacing w:before="60" w:after="60"/>
              <w:rPr>
                <w:rFonts w:ascii="Times New Roman" w:hAnsi="Times New Roman" w:eastAsia="Times New Roman" w:cs="Times New Roman"/>
                <w:sz w:val="24"/>
                <w:szCs w:val="24"/>
              </w:rPr>
            </w:pPr>
            <w:r>
              <w:rPr>
                <w:color w:val="000000"/>
                <w:sz w:val="18"/>
                <w:szCs w:val="18"/>
              </w:rPr>
              <w:t>System Name:</w:t>
            </w:r>
            <w:r>
              <w:rPr>
                <w:b/>
                <w:color w:val="000000"/>
                <w:sz w:val="18"/>
                <w:szCs w:val="18"/>
              </w:rPr>
              <w:t xml:space="preserve">   </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003C2DE1" w:rsidRDefault="00F97212" w14:paraId="00000008" w14:textId="77777777">
            <w:pPr>
              <w:pStyle w:val="Normal0"/>
              <w:spacing w:before="60" w:after="60"/>
              <w:rPr>
                <w:sz w:val="18"/>
                <w:szCs w:val="18"/>
              </w:rPr>
            </w:pPr>
            <w:r>
              <w:rPr>
                <w:sz w:val="18"/>
                <w:szCs w:val="18"/>
              </w:rPr>
              <w:t>Number of programs in your system:</w:t>
            </w:r>
          </w:p>
        </w:tc>
      </w:tr>
      <w:tr w:rsidR="003C2DE1" w14:paraId="1634C429" w14:textId="77777777">
        <w:trPr>
          <w:trHeight w:val="557"/>
        </w:trPr>
        <w:tc>
          <w:tcPr>
            <w:tcW w:w="10750" w:type="dxa"/>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115" w:type="dxa"/>
              <w:bottom w:w="0" w:type="dxa"/>
              <w:right w:w="115" w:type="dxa"/>
            </w:tcMar>
            <w:vAlign w:val="center"/>
          </w:tcPr>
          <w:p w:rsidR="003C2DE1" w:rsidRDefault="00F97212" w14:paraId="0000000A" w14:textId="77777777">
            <w:pPr>
              <w:pStyle w:val="Normal0"/>
              <w:spacing w:before="60" w:after="60"/>
              <w:rPr>
                <w:b/>
                <w:sz w:val="24"/>
                <w:szCs w:val="24"/>
              </w:rPr>
            </w:pPr>
            <w:r>
              <w:rPr>
                <w:b/>
                <w:color w:val="000000"/>
                <w:sz w:val="20"/>
                <w:szCs w:val="20"/>
              </w:rPr>
              <w:t>System Contacts</w:t>
            </w:r>
          </w:p>
        </w:tc>
      </w:tr>
      <w:tr w:rsidR="003C2DE1" w14:paraId="783F6A7E" w14:textId="77777777">
        <w:trPr>
          <w:trHeight w:val="451"/>
        </w:trPr>
        <w:tc>
          <w:tcPr>
            <w:tcW w:w="52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0D" w14:textId="77777777">
            <w:pPr>
              <w:pStyle w:val="Normal0"/>
              <w:spacing w:before="60" w:after="60"/>
              <w:rPr>
                <w:rFonts w:ascii="Times New Roman" w:hAnsi="Times New Roman" w:eastAsia="Times New Roman" w:cs="Times New Roman"/>
                <w:sz w:val="24"/>
                <w:szCs w:val="24"/>
              </w:rPr>
            </w:pPr>
            <w:r>
              <w:rPr>
                <w:b/>
                <w:i/>
                <w:color w:val="000000"/>
                <w:sz w:val="16"/>
                <w:szCs w:val="16"/>
              </w:rPr>
              <w:t>Primary Contact</w:t>
            </w:r>
            <w:r>
              <w:rPr>
                <w:i/>
                <w:color w:val="000000"/>
                <w:sz w:val="16"/>
                <w:szCs w:val="16"/>
              </w:rPr>
              <w:t xml:space="preserve"> is responsible for receiving written correspondence regarding the System-Wide Program Portfolio Evidence Review.</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0E" w14:textId="77777777">
            <w:pPr>
              <w:pStyle w:val="Normal0"/>
              <w:spacing w:before="60" w:after="60"/>
              <w:rPr>
                <w:rFonts w:ascii="Times New Roman" w:hAnsi="Times New Roman" w:eastAsia="Times New Roman" w:cs="Times New Roman"/>
                <w:sz w:val="24"/>
                <w:szCs w:val="24"/>
              </w:rPr>
            </w:pPr>
            <w:r>
              <w:rPr>
                <w:b/>
                <w:i/>
                <w:color w:val="000000"/>
                <w:sz w:val="16"/>
                <w:szCs w:val="16"/>
              </w:rPr>
              <w:t xml:space="preserve">Secondary Contact </w:t>
            </w:r>
            <w:r>
              <w:rPr>
                <w:i/>
                <w:color w:val="000000"/>
                <w:sz w:val="16"/>
                <w:szCs w:val="16"/>
              </w:rPr>
              <w:t>is copied on all correspondence regarding the System-Wide Program Portfolio Evidence Review.</w:t>
            </w:r>
          </w:p>
        </w:tc>
      </w:tr>
      <w:tr w:rsidR="003C2DE1" w14:paraId="1B482C51" w14:textId="77777777">
        <w:trPr>
          <w:trHeight w:val="426"/>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0"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Name: </w:t>
            </w:r>
          </w:p>
        </w:tc>
        <w:tc>
          <w:tcPr>
            <w:tcW w:w="553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1"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Name: </w:t>
            </w:r>
          </w:p>
        </w:tc>
      </w:tr>
      <w:tr w:rsidR="003C2DE1" w14:paraId="64BD7B74" w14:textId="77777777">
        <w:trPr>
          <w:trHeight w:val="426"/>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3"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Title: </w:t>
            </w:r>
          </w:p>
        </w:tc>
        <w:tc>
          <w:tcPr>
            <w:tcW w:w="553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4" w14:textId="77777777">
            <w:pPr>
              <w:pStyle w:val="Normal0"/>
              <w:spacing w:before="60" w:after="60"/>
              <w:rPr>
                <w:rFonts w:ascii="Times New Roman" w:hAnsi="Times New Roman" w:eastAsia="Times New Roman" w:cs="Times New Roman"/>
                <w:sz w:val="24"/>
                <w:szCs w:val="24"/>
              </w:rPr>
            </w:pPr>
            <w:r>
              <w:rPr>
                <w:color w:val="000000"/>
                <w:sz w:val="18"/>
                <w:szCs w:val="18"/>
              </w:rPr>
              <w:t>Title:  </w:t>
            </w:r>
          </w:p>
        </w:tc>
      </w:tr>
      <w:tr w:rsidR="003C2DE1" w14:paraId="1DE3CEBF" w14:textId="77777777">
        <w:trPr>
          <w:trHeight w:val="451"/>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6"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Phone: </w:t>
            </w:r>
          </w:p>
        </w:tc>
        <w:tc>
          <w:tcPr>
            <w:tcW w:w="553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7" w14:textId="77777777">
            <w:pPr>
              <w:pStyle w:val="Normal0"/>
              <w:spacing w:before="60" w:after="60"/>
              <w:rPr>
                <w:rFonts w:ascii="Times New Roman" w:hAnsi="Times New Roman" w:eastAsia="Times New Roman" w:cs="Times New Roman"/>
                <w:sz w:val="24"/>
                <w:szCs w:val="24"/>
              </w:rPr>
            </w:pPr>
            <w:r>
              <w:rPr>
                <w:color w:val="000000"/>
                <w:sz w:val="18"/>
                <w:szCs w:val="18"/>
              </w:rPr>
              <w:t>Phone:  </w:t>
            </w:r>
          </w:p>
        </w:tc>
      </w:tr>
      <w:tr w:rsidR="003C2DE1" w14:paraId="1A0F420D" w14:textId="77777777">
        <w:trPr>
          <w:trHeight w:val="426"/>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9"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Email: </w:t>
            </w:r>
          </w:p>
        </w:tc>
        <w:tc>
          <w:tcPr>
            <w:tcW w:w="553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A" w14:textId="77777777">
            <w:pPr>
              <w:pStyle w:val="Normal0"/>
              <w:spacing w:before="60" w:after="60"/>
              <w:rPr>
                <w:rFonts w:ascii="Times New Roman" w:hAnsi="Times New Roman" w:eastAsia="Times New Roman" w:cs="Times New Roman"/>
                <w:sz w:val="24"/>
                <w:szCs w:val="24"/>
              </w:rPr>
            </w:pPr>
            <w:r>
              <w:rPr>
                <w:color w:val="000000"/>
                <w:sz w:val="18"/>
                <w:szCs w:val="18"/>
              </w:rPr>
              <w:t>Email:  </w:t>
            </w:r>
          </w:p>
        </w:tc>
      </w:tr>
      <w:tr w:rsidR="003C2DE1" w14:paraId="303A75C9" w14:textId="77777777">
        <w:trPr>
          <w:trHeight w:val="518"/>
        </w:trPr>
        <w:tc>
          <w:tcPr>
            <w:tcW w:w="10750" w:type="dxa"/>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115" w:type="dxa"/>
              <w:bottom w:w="0" w:type="dxa"/>
              <w:right w:w="115" w:type="dxa"/>
            </w:tcMar>
            <w:vAlign w:val="center"/>
          </w:tcPr>
          <w:p w:rsidR="003C2DE1" w:rsidRDefault="00F97212" w14:paraId="0000001C" w14:textId="77777777">
            <w:pPr>
              <w:pStyle w:val="Normal0"/>
              <w:spacing w:before="60" w:after="60"/>
              <w:rPr>
                <w:b/>
                <w:sz w:val="24"/>
                <w:szCs w:val="24"/>
              </w:rPr>
            </w:pPr>
            <w:r>
              <w:rPr>
                <w:b/>
                <w:color w:val="000000"/>
                <w:sz w:val="20"/>
                <w:szCs w:val="20"/>
              </w:rPr>
              <w:t>Mailing Address</w:t>
            </w:r>
          </w:p>
        </w:tc>
      </w:tr>
      <w:tr w:rsidR="003C2DE1" w14:paraId="14ADD191" w14:textId="77777777">
        <w:trPr>
          <w:trHeight w:val="426"/>
        </w:trPr>
        <w:tc>
          <w:tcPr>
            <w:tcW w:w="73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1F" w14:textId="77777777">
            <w:pPr>
              <w:pStyle w:val="Normal0"/>
              <w:spacing w:before="60" w:after="60"/>
              <w:rPr>
                <w:rFonts w:ascii="Times New Roman" w:hAnsi="Times New Roman" w:eastAsia="Times New Roman" w:cs="Times New Roman"/>
                <w:sz w:val="24"/>
                <w:szCs w:val="24"/>
              </w:rPr>
            </w:pPr>
            <w:r>
              <w:rPr>
                <w:color w:val="000000"/>
                <w:sz w:val="18"/>
                <w:szCs w:val="18"/>
              </w:rPr>
              <w:t>Street Address:  </w:t>
            </w:r>
            <w:r>
              <w:rPr>
                <w:rFonts w:ascii="Times New Roman" w:hAnsi="Times New Roman" w:eastAsia="Times New Roman" w:cs="Times New Roman"/>
                <w:color w:val="000000"/>
                <w:sz w:val="18"/>
                <w:szCs w:val="18"/>
              </w:rPr>
              <w:t>     </w:t>
            </w:r>
          </w:p>
        </w:tc>
        <w:tc>
          <w:tcPr>
            <w:tcW w:w="341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1" w14:textId="77777777">
            <w:pPr>
              <w:pStyle w:val="Normal0"/>
              <w:spacing w:before="60" w:after="60"/>
              <w:rPr>
                <w:rFonts w:ascii="Times New Roman" w:hAnsi="Times New Roman" w:eastAsia="Times New Roman" w:cs="Times New Roman"/>
                <w:sz w:val="24"/>
                <w:szCs w:val="24"/>
              </w:rPr>
            </w:pPr>
            <w:r>
              <w:rPr>
                <w:color w:val="000000"/>
                <w:sz w:val="18"/>
                <w:szCs w:val="18"/>
              </w:rPr>
              <w:t>Suite/ dept. /floor:  </w:t>
            </w:r>
          </w:p>
        </w:tc>
      </w:tr>
      <w:tr w:rsidR="003C2DE1" w14:paraId="58823A8F" w14:textId="77777777">
        <w:trPr>
          <w:trHeight w:val="426"/>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2" w14:textId="77777777">
            <w:pPr>
              <w:pStyle w:val="Normal0"/>
              <w:spacing w:before="60" w:after="60"/>
              <w:rPr>
                <w:rFonts w:ascii="Times New Roman" w:hAnsi="Times New Roman" w:eastAsia="Times New Roman" w:cs="Times New Roman"/>
                <w:sz w:val="24"/>
                <w:szCs w:val="24"/>
              </w:rPr>
            </w:pPr>
            <w:r>
              <w:rPr>
                <w:color w:val="000000"/>
                <w:sz w:val="18"/>
                <w:szCs w:val="18"/>
              </w:rPr>
              <w:t>City:  </w:t>
            </w:r>
            <w:r>
              <w:rPr>
                <w:rFonts w:ascii="Times New Roman" w:hAnsi="Times New Roman" w:eastAsia="Times New Roman" w:cs="Times New Roman"/>
                <w:color w:val="000000"/>
                <w:sz w:val="18"/>
                <w:szCs w:val="18"/>
              </w:rPr>
              <w:t>     </w:t>
            </w:r>
          </w:p>
        </w:tc>
        <w:tc>
          <w:tcPr>
            <w:tcW w:w="212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3" w14:textId="77777777">
            <w:pPr>
              <w:pStyle w:val="Normal0"/>
              <w:spacing w:before="60" w:after="60"/>
              <w:rPr>
                <w:rFonts w:ascii="Times New Roman" w:hAnsi="Times New Roman" w:eastAsia="Times New Roman" w:cs="Times New Roman"/>
                <w:sz w:val="24"/>
                <w:szCs w:val="24"/>
              </w:rPr>
            </w:pPr>
            <w:r>
              <w:rPr>
                <w:color w:val="000000"/>
                <w:sz w:val="18"/>
                <w:szCs w:val="18"/>
              </w:rPr>
              <w:t>State:  </w:t>
            </w:r>
            <w:r>
              <w:rPr>
                <w:rFonts w:ascii="Times New Roman" w:hAnsi="Times New Roman" w:eastAsia="Times New Roman" w:cs="Times New Roman"/>
                <w:color w:val="000000"/>
                <w:sz w:val="18"/>
                <w:szCs w:val="18"/>
              </w:rPr>
              <w:t>     </w:t>
            </w:r>
          </w:p>
        </w:tc>
        <w:tc>
          <w:tcPr>
            <w:tcW w:w="341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4" w14:textId="77777777">
            <w:pPr>
              <w:pStyle w:val="Normal0"/>
              <w:spacing w:before="60" w:after="60"/>
              <w:rPr>
                <w:rFonts w:ascii="Times New Roman" w:hAnsi="Times New Roman" w:eastAsia="Times New Roman" w:cs="Times New Roman"/>
                <w:sz w:val="24"/>
                <w:szCs w:val="24"/>
              </w:rPr>
            </w:pPr>
            <w:r>
              <w:rPr>
                <w:color w:val="000000"/>
                <w:sz w:val="18"/>
                <w:szCs w:val="18"/>
              </w:rPr>
              <w:t>Zip:  </w:t>
            </w:r>
            <w:r>
              <w:rPr>
                <w:rFonts w:ascii="Times New Roman" w:hAnsi="Times New Roman" w:eastAsia="Times New Roman" w:cs="Times New Roman"/>
                <w:color w:val="000000"/>
                <w:sz w:val="18"/>
                <w:szCs w:val="18"/>
              </w:rPr>
              <w:t>     </w:t>
            </w:r>
          </w:p>
        </w:tc>
      </w:tr>
      <w:tr w:rsidR="003C2DE1" w14:paraId="2ABFD0C5" w14:textId="77777777">
        <w:trPr>
          <w:trHeight w:val="426"/>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5" w14:textId="77777777">
            <w:pPr>
              <w:pStyle w:val="Normal0"/>
              <w:spacing w:before="60" w:after="60"/>
              <w:rPr>
                <w:sz w:val="24"/>
                <w:szCs w:val="24"/>
              </w:rPr>
            </w:pPr>
            <w:r>
              <w:rPr>
                <w:sz w:val="18"/>
                <w:szCs w:val="18"/>
              </w:rPr>
              <w:t>Country:</w:t>
            </w:r>
            <w:r>
              <w:rPr>
                <w:color w:val="000000"/>
                <w:sz w:val="18"/>
                <w:szCs w:val="18"/>
              </w:rPr>
              <w:t>    </w:t>
            </w:r>
          </w:p>
        </w:tc>
        <w:tc>
          <w:tcPr>
            <w:tcW w:w="553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6" w14:textId="77777777">
            <w:pPr>
              <w:pStyle w:val="Normal0"/>
              <w:spacing w:before="60" w:after="60"/>
              <w:rPr>
                <w:rFonts w:ascii="Times New Roman" w:hAnsi="Times New Roman" w:eastAsia="Times New Roman" w:cs="Times New Roman"/>
                <w:sz w:val="24"/>
                <w:szCs w:val="24"/>
              </w:rPr>
            </w:pPr>
            <w:r>
              <w:rPr>
                <w:sz w:val="18"/>
                <w:szCs w:val="18"/>
              </w:rPr>
              <w:t>Website: </w:t>
            </w:r>
          </w:p>
        </w:tc>
      </w:tr>
      <w:tr w:rsidR="003C2DE1" w14:paraId="4871FF43" w14:textId="77777777">
        <w:trPr>
          <w:trHeight w:val="426"/>
        </w:trPr>
        <w:tc>
          <w:tcPr>
            <w:tcW w:w="52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8" w14:textId="77777777">
            <w:pPr>
              <w:pStyle w:val="Normal0"/>
              <w:spacing w:before="60" w:after="60"/>
              <w:rPr>
                <w:rFonts w:ascii="Times New Roman" w:hAnsi="Times New Roman" w:eastAsia="Times New Roman" w:cs="Times New Roman"/>
                <w:sz w:val="24"/>
                <w:szCs w:val="24"/>
              </w:rPr>
            </w:pPr>
            <w:r>
              <w:rPr>
                <w:color w:val="000000"/>
                <w:sz w:val="18"/>
                <w:szCs w:val="18"/>
              </w:rPr>
              <w:t>Email:  </w:t>
            </w:r>
            <w:r>
              <w:rPr>
                <w:rFonts w:ascii="Times New Roman" w:hAnsi="Times New Roman" w:eastAsia="Times New Roman" w:cs="Times New Roman"/>
                <w:color w:val="000000"/>
                <w:sz w:val="18"/>
                <w:szCs w:val="18"/>
              </w:rPr>
              <w:t>     </w:t>
            </w:r>
          </w:p>
        </w:tc>
        <w:tc>
          <w:tcPr>
            <w:tcW w:w="553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3C2DE1" w:rsidRDefault="00F97212" w14:paraId="00000029" w14:textId="77777777">
            <w:pPr>
              <w:pStyle w:val="Normal0"/>
              <w:spacing w:before="60" w:after="60"/>
              <w:rPr>
                <w:rFonts w:ascii="Times New Roman" w:hAnsi="Times New Roman" w:eastAsia="Times New Roman" w:cs="Times New Roman"/>
                <w:sz w:val="24"/>
                <w:szCs w:val="24"/>
              </w:rPr>
            </w:pPr>
            <w:r>
              <w:rPr>
                <w:sz w:val="18"/>
                <w:szCs w:val="18"/>
              </w:rPr>
              <w:t>Phone:</w:t>
            </w:r>
            <w:r>
              <w:rPr>
                <w:color w:val="000000"/>
                <w:sz w:val="18"/>
                <w:szCs w:val="18"/>
              </w:rPr>
              <w:t xml:space="preserve">  </w:t>
            </w:r>
            <w:r>
              <w:rPr>
                <w:rFonts w:ascii="Times New Roman" w:hAnsi="Times New Roman" w:eastAsia="Times New Roman" w:cs="Times New Roman"/>
                <w:color w:val="000000"/>
                <w:sz w:val="18"/>
                <w:szCs w:val="18"/>
              </w:rPr>
              <w:t>     </w:t>
            </w:r>
          </w:p>
        </w:tc>
      </w:tr>
      <w:tr w:rsidR="003C2DE1" w14:paraId="5E440227" w14:textId="77777777">
        <w:trPr>
          <w:trHeight w:val="495"/>
        </w:trPr>
        <w:tc>
          <w:tcPr>
            <w:tcW w:w="10750" w:type="dxa"/>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115" w:type="dxa"/>
              <w:bottom w:w="0" w:type="dxa"/>
              <w:right w:w="115" w:type="dxa"/>
            </w:tcMar>
            <w:vAlign w:val="center"/>
          </w:tcPr>
          <w:p w:rsidR="003C2DE1" w:rsidRDefault="00F97212" w14:paraId="0000002B" w14:textId="77777777">
            <w:pPr>
              <w:pStyle w:val="Normal0"/>
              <w:spacing w:before="60" w:after="60"/>
              <w:rPr>
                <w:b/>
                <w:i/>
                <w:sz w:val="24"/>
                <w:szCs w:val="24"/>
              </w:rPr>
            </w:pPr>
            <w:r>
              <w:rPr>
                <w:b/>
                <w:color w:val="000000"/>
                <w:sz w:val="20"/>
                <w:szCs w:val="20"/>
              </w:rPr>
              <w:t xml:space="preserve">Billing Contact Information </w:t>
            </w:r>
            <w:r>
              <w:rPr>
                <w:b/>
                <w:i/>
                <w:color w:val="000000"/>
                <w:sz w:val="20"/>
                <w:szCs w:val="20"/>
              </w:rPr>
              <w:t>(</w:t>
            </w:r>
            <w:r>
              <w:rPr>
                <w:b/>
                <w:i/>
                <w:sz w:val="20"/>
                <w:szCs w:val="20"/>
              </w:rPr>
              <w:t>person</w:t>
            </w:r>
            <w:r>
              <w:rPr>
                <w:b/>
                <w:i/>
                <w:color w:val="000000"/>
                <w:sz w:val="20"/>
                <w:szCs w:val="20"/>
              </w:rPr>
              <w:t xml:space="preserve"> NAEYC Staff will contact to arrange invoicing / payment)</w:t>
            </w:r>
          </w:p>
        </w:tc>
      </w:tr>
      <w:tr w:rsidR="003C2DE1" w14:paraId="357C527D" w14:textId="77777777">
        <w:trPr>
          <w:trHeight w:val="426"/>
        </w:trPr>
        <w:tc>
          <w:tcPr>
            <w:tcW w:w="1075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2E"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Attention: </w:t>
            </w:r>
          </w:p>
        </w:tc>
      </w:tr>
      <w:tr w:rsidR="003C2DE1" w14:paraId="282D6234" w14:textId="77777777">
        <w:trPr>
          <w:trHeight w:val="426"/>
        </w:trPr>
        <w:tc>
          <w:tcPr>
            <w:tcW w:w="1075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1"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System Name: </w:t>
            </w:r>
          </w:p>
        </w:tc>
      </w:tr>
      <w:tr w:rsidR="003C2DE1" w14:paraId="451B895B" w14:textId="77777777">
        <w:trPr>
          <w:trHeight w:val="426"/>
        </w:trPr>
        <w:tc>
          <w:tcPr>
            <w:tcW w:w="7336"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4" w14:textId="77777777">
            <w:pPr>
              <w:pStyle w:val="Normal0"/>
              <w:spacing w:before="60" w:after="60"/>
              <w:rPr>
                <w:rFonts w:ascii="Times New Roman" w:hAnsi="Times New Roman" w:eastAsia="Times New Roman" w:cs="Times New Roman"/>
                <w:sz w:val="24"/>
                <w:szCs w:val="24"/>
              </w:rPr>
            </w:pPr>
            <w:r>
              <w:rPr>
                <w:color w:val="000000"/>
                <w:sz w:val="18"/>
                <w:szCs w:val="18"/>
              </w:rPr>
              <w:t>Street Address: </w:t>
            </w:r>
          </w:p>
        </w:tc>
        <w:tc>
          <w:tcPr>
            <w:tcW w:w="34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6" w14:textId="77777777">
            <w:pPr>
              <w:pStyle w:val="Normal0"/>
              <w:spacing w:before="60" w:after="60"/>
              <w:rPr>
                <w:rFonts w:ascii="Times New Roman" w:hAnsi="Times New Roman" w:eastAsia="Times New Roman" w:cs="Times New Roman"/>
                <w:sz w:val="24"/>
                <w:szCs w:val="24"/>
              </w:rPr>
            </w:pPr>
            <w:r>
              <w:rPr>
                <w:color w:val="000000"/>
                <w:sz w:val="18"/>
                <w:szCs w:val="18"/>
              </w:rPr>
              <w:t>Suite/dept/floor:  </w:t>
            </w:r>
          </w:p>
        </w:tc>
      </w:tr>
      <w:tr w:rsidR="003C2DE1" w14:paraId="07DDACD8" w14:textId="77777777">
        <w:trPr>
          <w:trHeight w:val="426"/>
        </w:trPr>
        <w:tc>
          <w:tcPr>
            <w:tcW w:w="52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7" w14:textId="77777777">
            <w:pPr>
              <w:pStyle w:val="Normal0"/>
              <w:spacing w:before="60" w:after="60"/>
              <w:rPr>
                <w:rFonts w:ascii="Times New Roman" w:hAnsi="Times New Roman" w:eastAsia="Times New Roman" w:cs="Times New Roman"/>
                <w:sz w:val="24"/>
                <w:szCs w:val="24"/>
              </w:rPr>
            </w:pPr>
            <w:r>
              <w:rPr>
                <w:color w:val="000000"/>
                <w:sz w:val="18"/>
                <w:szCs w:val="18"/>
              </w:rPr>
              <w:t>City:  </w:t>
            </w:r>
          </w:p>
        </w:tc>
        <w:tc>
          <w:tcPr>
            <w:tcW w:w="21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8" w14:textId="77777777">
            <w:pPr>
              <w:pStyle w:val="Normal0"/>
              <w:spacing w:before="60" w:after="60"/>
              <w:rPr>
                <w:rFonts w:ascii="Times New Roman" w:hAnsi="Times New Roman" w:eastAsia="Times New Roman" w:cs="Times New Roman"/>
                <w:sz w:val="24"/>
                <w:szCs w:val="24"/>
              </w:rPr>
            </w:pPr>
            <w:r>
              <w:rPr>
                <w:color w:val="000000"/>
                <w:sz w:val="18"/>
                <w:szCs w:val="18"/>
              </w:rPr>
              <w:t xml:space="preserve">State: </w:t>
            </w:r>
          </w:p>
        </w:tc>
        <w:tc>
          <w:tcPr>
            <w:tcW w:w="34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9" w14:textId="77777777">
            <w:pPr>
              <w:pStyle w:val="Normal0"/>
              <w:spacing w:before="60" w:after="60"/>
              <w:rPr>
                <w:rFonts w:ascii="Times New Roman" w:hAnsi="Times New Roman" w:eastAsia="Times New Roman" w:cs="Times New Roman"/>
                <w:sz w:val="24"/>
                <w:szCs w:val="24"/>
              </w:rPr>
            </w:pPr>
            <w:r>
              <w:rPr>
                <w:color w:val="000000"/>
                <w:sz w:val="18"/>
                <w:szCs w:val="18"/>
              </w:rPr>
              <w:t>Zip:  </w:t>
            </w:r>
          </w:p>
        </w:tc>
      </w:tr>
      <w:tr w:rsidR="003C2DE1" w14:paraId="6F0DF230" w14:textId="77777777">
        <w:trPr>
          <w:trHeight w:val="426"/>
        </w:trPr>
        <w:tc>
          <w:tcPr>
            <w:tcW w:w="52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A" w14:textId="77777777">
            <w:pPr>
              <w:pStyle w:val="Normal0"/>
              <w:spacing w:before="60" w:after="60"/>
              <w:rPr>
                <w:rFonts w:ascii="Times New Roman" w:hAnsi="Times New Roman" w:eastAsia="Times New Roman" w:cs="Times New Roman"/>
                <w:sz w:val="24"/>
                <w:szCs w:val="24"/>
              </w:rPr>
            </w:pPr>
            <w:r>
              <w:rPr>
                <w:sz w:val="18"/>
                <w:szCs w:val="18"/>
              </w:rPr>
              <w:t>Email:</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vAlign w:val="center"/>
          </w:tcPr>
          <w:p w:rsidR="003C2DE1" w:rsidRDefault="00F97212" w14:paraId="0000003B" w14:textId="77777777">
            <w:pPr>
              <w:pStyle w:val="Normal0"/>
              <w:spacing w:before="60" w:after="60"/>
              <w:rPr>
                <w:sz w:val="18"/>
                <w:szCs w:val="18"/>
              </w:rPr>
            </w:pPr>
            <w:r>
              <w:rPr>
                <w:sz w:val="18"/>
                <w:szCs w:val="18"/>
              </w:rPr>
              <w:t xml:space="preserve">Phone: </w:t>
            </w:r>
          </w:p>
        </w:tc>
      </w:tr>
    </w:tbl>
    <w:p w:rsidR="003C2DE1" w:rsidRDefault="003C2DE1" w14:paraId="0000003D" w14:textId="77777777">
      <w:pPr>
        <w:pStyle w:val="Normal0"/>
      </w:pPr>
    </w:p>
    <w:p w:rsidR="003C2DE1" w:rsidRDefault="003C2DE1" w14:paraId="0000003E" w14:textId="4A0564D6">
      <w:pPr>
        <w:pStyle w:val="Normal0"/>
      </w:pPr>
    </w:p>
    <w:p w:rsidR="50D65163" w:rsidP="50D65163" w:rsidRDefault="50D65163" w14:paraId="16440CB9" w14:textId="08E7D1DC">
      <w:pPr>
        <w:pStyle w:val="Normal0"/>
      </w:pPr>
    </w:p>
    <w:p w:rsidR="50D65163" w:rsidP="50D65163" w:rsidRDefault="50D65163" w14:paraId="52268DA6" w14:textId="47062613">
      <w:pPr>
        <w:pStyle w:val="Normal0"/>
      </w:pPr>
    </w:p>
    <w:p w:rsidR="50D65163" w:rsidP="50D65163" w:rsidRDefault="50D65163" w14:paraId="0781CAD3" w14:textId="0EB1B955">
      <w:pPr>
        <w:pStyle w:val="Normal0"/>
      </w:pPr>
    </w:p>
    <w:p w:rsidR="50D65163" w:rsidP="50D65163" w:rsidRDefault="50D65163" w14:paraId="09DB680B" w14:textId="03E5B330">
      <w:pPr>
        <w:pStyle w:val="Normal0"/>
      </w:pPr>
    </w:p>
    <w:p w:rsidR="50D65163" w:rsidP="50D65163" w:rsidRDefault="50D65163" w14:paraId="54703055" w14:textId="1751C6AB">
      <w:pPr>
        <w:pStyle w:val="Normal0"/>
      </w:pPr>
    </w:p>
    <w:p w:rsidR="50D65163" w:rsidP="50D65163" w:rsidRDefault="50D65163" w14:paraId="4D5874A4" w14:textId="781FB481">
      <w:pPr>
        <w:pStyle w:val="Normal0"/>
      </w:pPr>
    </w:p>
    <w:p w:rsidR="50D65163" w:rsidP="50D65163" w:rsidRDefault="50D65163" w14:paraId="5091F7B6" w14:textId="76455E05">
      <w:pPr>
        <w:pStyle w:val="Normal0"/>
      </w:pPr>
    </w:p>
    <w:p w:rsidR="003C2DE1" w:rsidRDefault="003C2DE1" w14:paraId="0000003F" w14:textId="77777777">
      <w:pPr>
        <w:pStyle w:val="Normal0"/>
      </w:pPr>
    </w:p>
    <w:tbl>
      <w:tblPr>
        <w:tblW w:w="10844" w:type="dxa"/>
        <w:tblLayout w:type="fixed"/>
        <w:tblCellMar>
          <w:top w:w="15" w:type="dxa"/>
          <w:left w:w="15" w:type="dxa"/>
          <w:bottom w:w="15" w:type="dxa"/>
          <w:right w:w="15" w:type="dxa"/>
        </w:tblCellMar>
        <w:tblLook w:val="0400" w:firstRow="0" w:lastRow="0" w:firstColumn="0" w:lastColumn="0" w:noHBand="0" w:noVBand="1"/>
      </w:tblPr>
      <w:tblGrid>
        <w:gridCol w:w="10844"/>
      </w:tblGrid>
      <w:tr w:rsidR="003C2DE1" w:rsidTr="053B01C9" w14:paraId="342444AD" w14:textId="77777777">
        <w:trPr>
          <w:trHeight w:val="340"/>
        </w:trPr>
        <w:tc>
          <w:tcPr>
            <w:tcW w:w="10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top w:w="0" w:type="dxa"/>
              <w:left w:w="115" w:type="dxa"/>
              <w:bottom w:w="0" w:type="dxa"/>
              <w:right w:w="115" w:type="dxa"/>
            </w:tcMar>
            <w:vAlign w:val="center"/>
          </w:tcPr>
          <w:p w:rsidR="003C2DE1" w:rsidRDefault="00F97212" w14:paraId="00000040" w14:textId="77777777">
            <w:pPr>
              <w:pStyle w:val="Normal0"/>
              <w:spacing w:before="60" w:after="60"/>
              <w:rPr>
                <w:b/>
                <w:sz w:val="24"/>
                <w:szCs w:val="24"/>
              </w:rPr>
            </w:pPr>
            <w:r>
              <w:rPr>
                <w:b/>
                <w:color w:val="000000"/>
              </w:rPr>
              <w:t>System-wide Program Portfolio Evidence Review Process</w:t>
            </w:r>
          </w:p>
        </w:tc>
      </w:tr>
      <w:tr w:rsidR="003C2DE1" w:rsidTr="053B01C9" w14:paraId="0DCFBDD2" w14:textId="77777777">
        <w:tc>
          <w:tcPr>
            <w:tcW w:w="10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15" w:type="dxa"/>
              <w:bottom w:w="0" w:type="dxa"/>
              <w:right w:w="115" w:type="dxa"/>
            </w:tcMar>
            <w:vAlign w:val="center"/>
          </w:tcPr>
          <w:p w:rsidR="003C2DE1" w:rsidRDefault="00F97212" w14:paraId="00000041" w14:textId="77777777">
            <w:pPr>
              <w:pStyle w:val="Normal0"/>
              <w:spacing w:before="60" w:after="60"/>
              <w:ind w:left="144" w:right="144"/>
              <w:rPr>
                <w:rFonts w:ascii="Times New Roman" w:hAnsi="Times New Roman" w:eastAsia="Times New Roman" w:cs="Times New Roman"/>
                <w:sz w:val="20"/>
                <w:szCs w:val="20"/>
              </w:rPr>
            </w:pPr>
            <w:r>
              <w:rPr>
                <w:b/>
                <w:color w:val="000000"/>
                <w:sz w:val="20"/>
                <w:szCs w:val="20"/>
                <w:u w:val="single"/>
              </w:rPr>
              <w:t>Overview</w:t>
            </w:r>
            <w:r>
              <w:rPr>
                <w:b/>
                <w:color w:val="000000"/>
                <w:sz w:val="20"/>
                <w:szCs w:val="20"/>
              </w:rPr>
              <w:t>.</w:t>
            </w:r>
            <w:r>
              <w:rPr>
                <w:color w:val="000000"/>
                <w:sz w:val="20"/>
                <w:szCs w:val="20"/>
              </w:rPr>
              <w:t xml:space="preserve"> The purpose of the System-wide Program Portfolio (SWPP) evidence review is to reduce preparation time for NAEYC site visits among programs that are part of a system with shared policies and procedures. NAEYC has identified PP items for which system-level evidence is acceptable; the item list is shared with interested systems. If the system does </w:t>
            </w:r>
            <w:r>
              <w:rPr>
                <w:sz w:val="20"/>
                <w:szCs w:val="20"/>
              </w:rPr>
              <w:t>address</w:t>
            </w:r>
            <w:r>
              <w:rPr>
                <w:color w:val="000000"/>
                <w:sz w:val="20"/>
                <w:szCs w:val="20"/>
              </w:rPr>
              <w:t xml:space="preserve"> those items on a system-wide basis, they submit the evidence to NAEYC and receive ratings for those items that are applied to all site visit evaluations of programs in their system. Determinations of compliance with NAEYC site visit assessment items are honored until the next SWPP annual reviews date for all participating systems. Individual programs in participating systems are responsible for maintaining program-specific PP evidence to be made available to NAEYC assessors for on-site review.</w:t>
            </w:r>
          </w:p>
          <w:p w:rsidR="003C2DE1" w:rsidRDefault="00F97212" w14:paraId="00000042" w14:textId="77777777">
            <w:pPr>
              <w:pStyle w:val="Normal0"/>
              <w:spacing w:before="120" w:after="120"/>
              <w:ind w:left="144" w:right="144"/>
              <w:rPr>
                <w:color w:val="000000"/>
                <w:sz w:val="20"/>
                <w:szCs w:val="20"/>
              </w:rPr>
            </w:pPr>
            <w:r w:rsidRPr="50D65163">
              <w:rPr>
                <w:b/>
                <w:bCs/>
                <w:color w:val="000000" w:themeColor="text1"/>
                <w:sz w:val="20"/>
                <w:szCs w:val="20"/>
                <w:u w:val="single"/>
              </w:rPr>
              <w:t>Plan to Ensure Site Managers’ Shared Understanding of NAEYC Quality Practices.</w:t>
            </w:r>
            <w:r w:rsidRPr="50D65163">
              <w:rPr>
                <w:color w:val="000000" w:themeColor="text1"/>
                <w:sz w:val="20"/>
                <w:szCs w:val="20"/>
              </w:rPr>
              <w:t xml:space="preserve"> The creation of a program portfolio by a program director or site manager is a process intended to promote the administrator’s </w:t>
            </w:r>
            <w:r w:rsidRPr="50D65163">
              <w:rPr>
                <w:sz w:val="20"/>
                <w:szCs w:val="20"/>
              </w:rPr>
              <w:t>understanding of how program policies and practices reflect NAEYC’s standards and recommended practices</w:t>
            </w:r>
            <w:r w:rsidRPr="50D65163">
              <w:rPr>
                <w:color w:val="000000" w:themeColor="text1"/>
                <w:sz w:val="20"/>
                <w:szCs w:val="20"/>
              </w:rPr>
              <w:t xml:space="preserve">. The SWPP evidence review eliminates this process for system-level policies and practices. Therefore, NAEYC requires participating systems to submit a plan describing how your system will promote an understanding among your site managers of your system-wide practices’ relation to NAEYC’s recommended quality practices. </w:t>
            </w:r>
          </w:p>
          <w:p w:rsidR="2E11BA0C" w:rsidP="50D65163" w:rsidRDefault="2E11BA0C" w14:paraId="056AD465" w14:textId="34B421A9">
            <w:pPr>
              <w:pStyle w:val="Normal0"/>
              <w:spacing w:before="120" w:after="120"/>
              <w:ind w:left="144" w:right="144"/>
              <w:rPr>
                <w:color w:val="000000" w:themeColor="text1"/>
                <w:sz w:val="20"/>
                <w:szCs w:val="20"/>
              </w:rPr>
            </w:pPr>
            <w:r w:rsidRPr="52ACE6FB">
              <w:rPr>
                <w:b/>
                <w:bCs/>
                <w:color w:val="000000" w:themeColor="text1"/>
                <w:sz w:val="20"/>
                <w:szCs w:val="20"/>
                <w:u w:val="single"/>
              </w:rPr>
              <w:t>Submitting Initial Evidence for Review</w:t>
            </w:r>
            <w:r w:rsidRPr="52ACE6FB" w:rsidR="3260BAC9">
              <w:rPr>
                <w:b/>
                <w:bCs/>
                <w:color w:val="000000" w:themeColor="text1"/>
                <w:sz w:val="20"/>
                <w:szCs w:val="20"/>
                <w:u w:val="single"/>
              </w:rPr>
              <w:t>.</w:t>
            </w:r>
            <w:r w:rsidRPr="52ACE6FB" w:rsidR="3260BAC9">
              <w:rPr>
                <w:color w:val="000000" w:themeColor="text1"/>
                <w:sz w:val="20"/>
                <w:szCs w:val="20"/>
              </w:rPr>
              <w:t xml:space="preserve"> Once an SWPP application is approved and the invoice is paid, </w:t>
            </w:r>
            <w:r w:rsidRPr="52ACE6FB" w:rsidR="7E3A650E">
              <w:rPr>
                <w:color w:val="000000" w:themeColor="text1"/>
                <w:sz w:val="20"/>
                <w:szCs w:val="20"/>
              </w:rPr>
              <w:t>organizations</w:t>
            </w:r>
            <w:r w:rsidRPr="52ACE6FB" w:rsidR="416E6AB6">
              <w:rPr>
                <w:color w:val="000000" w:themeColor="text1"/>
                <w:sz w:val="20"/>
                <w:szCs w:val="20"/>
              </w:rPr>
              <w:t xml:space="preserve"> will </w:t>
            </w:r>
            <w:r w:rsidRPr="52ACE6FB" w:rsidR="1D8EB55B">
              <w:rPr>
                <w:color w:val="000000" w:themeColor="text1"/>
                <w:sz w:val="20"/>
                <w:szCs w:val="20"/>
              </w:rPr>
              <w:t>be invited</w:t>
            </w:r>
            <w:r w:rsidRPr="52ACE6FB" w:rsidR="416E6AB6">
              <w:rPr>
                <w:color w:val="000000" w:themeColor="text1"/>
                <w:sz w:val="20"/>
                <w:szCs w:val="20"/>
              </w:rPr>
              <w:t xml:space="preserve"> to </w:t>
            </w:r>
            <w:r w:rsidRPr="52ACE6FB" w:rsidR="654826C2">
              <w:rPr>
                <w:color w:val="000000" w:themeColor="text1"/>
                <w:sz w:val="20"/>
                <w:szCs w:val="20"/>
              </w:rPr>
              <w:t>submit SWPP evidence</w:t>
            </w:r>
            <w:r w:rsidRPr="52ACE6FB" w:rsidR="416E6AB6">
              <w:rPr>
                <w:color w:val="000000" w:themeColor="text1"/>
                <w:sz w:val="20"/>
                <w:szCs w:val="20"/>
              </w:rPr>
              <w:t xml:space="preserve"> by</w:t>
            </w:r>
            <w:r w:rsidRPr="52ACE6FB" w:rsidR="045D7D25">
              <w:rPr>
                <w:color w:val="000000" w:themeColor="text1"/>
                <w:sz w:val="20"/>
                <w:szCs w:val="20"/>
              </w:rPr>
              <w:t xml:space="preserve"> email. Organizations have up to </w:t>
            </w:r>
            <w:r w:rsidRPr="52ACE6FB" w:rsidR="43FEAAF0">
              <w:rPr>
                <w:color w:val="000000" w:themeColor="text1"/>
                <w:sz w:val="20"/>
                <w:szCs w:val="20"/>
              </w:rPr>
              <w:t>30</w:t>
            </w:r>
            <w:r w:rsidRPr="52ACE6FB" w:rsidR="303E4665">
              <w:rPr>
                <w:color w:val="000000" w:themeColor="text1"/>
                <w:sz w:val="20"/>
                <w:szCs w:val="20"/>
              </w:rPr>
              <w:t xml:space="preserve"> days</w:t>
            </w:r>
            <w:r w:rsidRPr="52ACE6FB" w:rsidR="7E3A650E">
              <w:rPr>
                <w:color w:val="000000" w:themeColor="text1"/>
                <w:sz w:val="20"/>
                <w:szCs w:val="20"/>
              </w:rPr>
              <w:t xml:space="preserve"> to </w:t>
            </w:r>
            <w:r w:rsidRPr="52ACE6FB" w:rsidR="77DD8CE1">
              <w:rPr>
                <w:color w:val="000000" w:themeColor="text1"/>
                <w:sz w:val="20"/>
                <w:szCs w:val="20"/>
              </w:rPr>
              <w:t xml:space="preserve">send </w:t>
            </w:r>
            <w:r w:rsidRPr="52ACE6FB" w:rsidR="7E3A650E">
              <w:rPr>
                <w:color w:val="000000" w:themeColor="text1"/>
                <w:sz w:val="20"/>
                <w:szCs w:val="20"/>
              </w:rPr>
              <w:t xml:space="preserve">their initial evidence </w:t>
            </w:r>
            <w:r w:rsidRPr="52ACE6FB" w:rsidR="5A6D2A01">
              <w:rPr>
                <w:color w:val="000000" w:themeColor="text1"/>
                <w:sz w:val="20"/>
                <w:szCs w:val="20"/>
              </w:rPr>
              <w:t>to</w:t>
            </w:r>
            <w:r w:rsidRPr="52ACE6FB" w:rsidR="7E3A650E">
              <w:rPr>
                <w:color w:val="000000" w:themeColor="text1"/>
                <w:sz w:val="20"/>
                <w:szCs w:val="20"/>
              </w:rPr>
              <w:t xml:space="preserve"> NAEYC.</w:t>
            </w:r>
            <w:r w:rsidRPr="52ACE6FB" w:rsidR="6643B17F">
              <w:rPr>
                <w:color w:val="000000" w:themeColor="text1"/>
                <w:sz w:val="20"/>
                <w:szCs w:val="20"/>
              </w:rPr>
              <w:t xml:space="preserve"> The Manager’s Training Plan should also be submitted by email.</w:t>
            </w:r>
          </w:p>
          <w:p w:rsidR="003C2DE1" w:rsidRDefault="00F97212" w14:paraId="00000043" w14:textId="77777777">
            <w:pPr>
              <w:pStyle w:val="Normal0"/>
              <w:spacing w:before="60" w:after="60"/>
              <w:ind w:left="150"/>
              <w:rPr>
                <w:sz w:val="20"/>
                <w:szCs w:val="20"/>
              </w:rPr>
            </w:pPr>
            <w:r>
              <w:rPr>
                <w:b/>
                <w:color w:val="000000"/>
                <w:sz w:val="20"/>
                <w:szCs w:val="20"/>
                <w:u w:val="single"/>
              </w:rPr>
              <w:t>Steps in the Review Process.</w:t>
            </w:r>
            <w:r>
              <w:rPr>
                <w:color w:val="000000"/>
                <w:sz w:val="20"/>
                <w:szCs w:val="20"/>
              </w:rPr>
              <w:t xml:space="preserve"> The SWPP evidence review is a </w:t>
            </w:r>
            <w:r>
              <w:rPr>
                <w:sz w:val="20"/>
                <w:szCs w:val="20"/>
              </w:rPr>
              <w:t>three-step</w:t>
            </w:r>
            <w:r>
              <w:rPr>
                <w:color w:val="000000"/>
                <w:sz w:val="20"/>
                <w:szCs w:val="20"/>
              </w:rPr>
              <w:t xml:space="preserve"> process taking at most 90 days to complete. </w:t>
            </w:r>
          </w:p>
          <w:p w:rsidR="003C2DE1" w:rsidRDefault="00F97212" w14:paraId="00000044" w14:textId="77777777">
            <w:pPr>
              <w:pStyle w:val="Normal0"/>
              <w:numPr>
                <w:ilvl w:val="0"/>
                <w:numId w:val="6"/>
              </w:numPr>
              <w:pBdr>
                <w:top w:val="nil"/>
                <w:left w:val="nil"/>
                <w:bottom w:val="nil"/>
                <w:right w:val="nil"/>
                <w:between w:val="nil"/>
              </w:pBdr>
              <w:spacing w:before="60"/>
              <w:ind w:left="780" w:right="240"/>
              <w:rPr>
                <w:rFonts w:ascii="Times New Roman" w:hAnsi="Times New Roman" w:eastAsia="Times New Roman" w:cs="Times New Roman"/>
                <w:color w:val="000000"/>
                <w:sz w:val="20"/>
                <w:szCs w:val="20"/>
              </w:rPr>
            </w:pPr>
            <w:r>
              <w:rPr>
                <w:color w:val="000000"/>
                <w:sz w:val="20"/>
                <w:szCs w:val="20"/>
                <w:u w:val="single"/>
              </w:rPr>
              <w:t>Step 1: Initial Review</w:t>
            </w:r>
            <w:r>
              <w:rPr>
                <w:color w:val="000000"/>
                <w:sz w:val="20"/>
                <w:szCs w:val="20"/>
              </w:rPr>
              <w:t xml:space="preserve"> (up to 30 days): After receipt of this application with payment, system users submit to </w:t>
            </w:r>
            <w:proofErr w:type="gramStart"/>
            <w:r>
              <w:rPr>
                <w:color w:val="000000"/>
                <w:sz w:val="20"/>
                <w:szCs w:val="20"/>
              </w:rPr>
              <w:t>NAEYC</w:t>
            </w:r>
            <w:proofErr w:type="gramEnd"/>
            <w:r>
              <w:rPr>
                <w:color w:val="000000"/>
                <w:sz w:val="20"/>
                <w:szCs w:val="20"/>
              </w:rPr>
              <w:t xml:space="preserve"> </w:t>
            </w:r>
          </w:p>
          <w:p w:rsidR="003C2DE1" w:rsidRDefault="00F97212" w14:paraId="00000045" w14:textId="77777777">
            <w:pPr>
              <w:pStyle w:val="Normal0"/>
              <w:numPr>
                <w:ilvl w:val="1"/>
                <w:numId w:val="6"/>
              </w:numPr>
              <w:pBdr>
                <w:top w:val="nil"/>
                <w:left w:val="nil"/>
                <w:bottom w:val="nil"/>
                <w:right w:val="nil"/>
                <w:between w:val="nil"/>
              </w:pBdr>
              <w:ind w:right="240"/>
              <w:rPr>
                <w:rFonts w:ascii="Times New Roman" w:hAnsi="Times New Roman" w:eastAsia="Times New Roman" w:cs="Times New Roman"/>
                <w:color w:val="000000"/>
                <w:sz w:val="20"/>
                <w:szCs w:val="20"/>
              </w:rPr>
            </w:pPr>
            <w:r>
              <w:rPr>
                <w:sz w:val="20"/>
                <w:szCs w:val="20"/>
                <w:u w:val="single"/>
              </w:rPr>
              <w:t>E</w:t>
            </w:r>
            <w:r>
              <w:rPr>
                <w:color w:val="000000"/>
                <w:sz w:val="20"/>
                <w:szCs w:val="20"/>
                <w:u w:val="single"/>
              </w:rPr>
              <w:t>vidence</w:t>
            </w:r>
            <w:r>
              <w:rPr>
                <w:color w:val="000000"/>
                <w:sz w:val="20"/>
                <w:szCs w:val="20"/>
              </w:rPr>
              <w:t xml:space="preserve"> related to SWPP items (in digital form). </w:t>
            </w:r>
          </w:p>
          <w:p w:rsidR="003C2DE1" w:rsidP="65A0E7E1" w:rsidRDefault="00F97212" w14:paraId="00000046" w14:textId="77777777">
            <w:pPr>
              <w:pStyle w:val="Normal0"/>
              <w:numPr>
                <w:ilvl w:val="1"/>
                <w:numId w:val="6"/>
              </w:numPr>
              <w:pBdr>
                <w:top w:val="nil"/>
                <w:left w:val="nil"/>
                <w:bottom w:val="nil"/>
                <w:right w:val="nil"/>
                <w:between w:val="nil"/>
              </w:pBdr>
              <w:spacing w:after="60"/>
              <w:ind w:right="240"/>
              <w:rPr>
                <w:rFonts w:ascii="Times New Roman" w:hAnsi="Times New Roman" w:eastAsia="Times New Roman" w:cs="Times New Roman"/>
                <w:color w:val="000000"/>
                <w:sz w:val="20"/>
                <w:szCs w:val="20"/>
              </w:rPr>
            </w:pPr>
            <w:r>
              <w:rPr>
                <w:sz w:val="20"/>
                <w:szCs w:val="20"/>
                <w:u w:val="single"/>
              </w:rPr>
              <w:t xml:space="preserve">Written Training </w:t>
            </w:r>
            <w:r w:rsidRPr="65A0E7E1">
              <w:rPr>
                <w:color w:val="000000"/>
                <w:sz w:val="20"/>
                <w:szCs w:val="20"/>
                <w:u w:val="single"/>
              </w:rPr>
              <w:t>Plan</w:t>
            </w:r>
            <w:r w:rsidRPr="65A0E7E1">
              <w:rPr>
                <w:color w:val="000000"/>
                <w:sz w:val="20"/>
                <w:szCs w:val="20"/>
              </w:rPr>
              <w:t xml:space="preserve"> to ensure site visit managers’ shared understanding of NAEYC quality practices.</w:t>
            </w:r>
          </w:p>
          <w:p w:rsidR="65A0E7E1" w:rsidP="65A0E7E1" w:rsidRDefault="65A0E7E1" w14:paraId="3583F7E8" w14:textId="75E0F8AF">
            <w:pPr>
              <w:pStyle w:val="Normal0"/>
              <w:spacing w:before="60" w:after="60"/>
              <w:ind w:left="180"/>
            </w:pPr>
            <w:r w:rsidRPr="65A0E7E1">
              <w:rPr>
                <w:color w:val="000000" w:themeColor="text1"/>
                <w:sz w:val="20"/>
                <w:szCs w:val="20"/>
              </w:rPr>
              <w:t xml:space="preserve">The creation of a program portfolio by a program director or site manager is a process intended to promote the administrator’s understanding of how program policies and practices reflect NAEYC’s standards and recommended practices. The SWPP evidence review eliminates this process for system-level policies and practices. Therefore, NAEYC requires participating systems to submit a Training Plan describing how your system will promote an understanding of your system-wide practices’ relation to program quality among your site managers.  </w:t>
            </w:r>
            <w:r w:rsidRPr="65A0E7E1">
              <w:rPr>
                <w:sz w:val="20"/>
                <w:szCs w:val="20"/>
              </w:rPr>
              <w:t xml:space="preserve"> </w:t>
            </w:r>
          </w:p>
          <w:p w:rsidR="65A0E7E1" w:rsidP="65A0E7E1" w:rsidRDefault="65A0E7E1" w14:paraId="40664A4D" w14:textId="32F2914B">
            <w:pPr>
              <w:pStyle w:val="Normal0"/>
              <w:spacing w:before="60" w:after="60"/>
              <w:ind w:left="180"/>
              <w:rPr>
                <w:sz w:val="20"/>
                <w:szCs w:val="20"/>
              </w:rPr>
            </w:pPr>
          </w:p>
          <w:p w:rsidR="003C2DE1" w:rsidP="65A0E7E1" w:rsidRDefault="00F97212" w14:paraId="00000047" w14:textId="0A57C835">
            <w:pPr>
              <w:pStyle w:val="ListParagraph"/>
              <w:numPr>
                <w:ilvl w:val="1"/>
                <w:numId w:val="5"/>
              </w:numPr>
              <w:spacing w:before="60" w:after="60"/>
              <w:ind w:right="240"/>
              <w:rPr>
                <w:rFonts w:ascii="Symbol" w:hAnsi="Symbol" w:eastAsia="Symbol" w:cs="Symbol"/>
                <w:sz w:val="20"/>
                <w:szCs w:val="20"/>
              </w:rPr>
            </w:pPr>
            <w:r>
              <w:rPr>
                <w:color w:val="000000"/>
                <w:sz w:val="20"/>
                <w:szCs w:val="20"/>
              </w:rPr>
              <w:t xml:space="preserve">Two NAEYC assessors meeting NAEYC standards of inter-rater reliability review the SWPP evidence submitted. Each assessor independently reviews and rates the evidence. Then the assessors compare ratings; when ratings disagree, they conduct a reliability discussion to reach a final consensus rating. </w:t>
            </w:r>
          </w:p>
          <w:p w:rsidR="003C2DE1" w:rsidP="65A0E7E1" w:rsidRDefault="00F97212" w14:paraId="00000048" w14:textId="3C7015CC">
            <w:pPr>
              <w:pStyle w:val="ListParagraph"/>
              <w:numPr>
                <w:ilvl w:val="1"/>
                <w:numId w:val="4"/>
              </w:numPr>
              <w:spacing w:before="60" w:after="60"/>
              <w:ind w:right="240"/>
              <w:rPr>
                <w:rFonts w:ascii="Symbol" w:hAnsi="Symbol" w:eastAsia="Symbol" w:cs="Symbol"/>
                <w:color w:val="000000"/>
                <w:sz w:val="20"/>
                <w:szCs w:val="20"/>
              </w:rPr>
            </w:pPr>
            <w:r w:rsidRPr="65A0E7E1">
              <w:rPr>
                <w:color w:val="000000" w:themeColor="text1"/>
                <w:sz w:val="20"/>
                <w:szCs w:val="20"/>
              </w:rPr>
              <w:t>NAEYC Assessment staff review the</w:t>
            </w:r>
            <w:r w:rsidRPr="65A0E7E1">
              <w:rPr>
                <w:sz w:val="20"/>
                <w:szCs w:val="20"/>
              </w:rPr>
              <w:t xml:space="preserve"> managers’</w:t>
            </w:r>
            <w:r w:rsidRPr="65A0E7E1">
              <w:rPr>
                <w:color w:val="000000" w:themeColor="text1"/>
                <w:sz w:val="20"/>
                <w:szCs w:val="20"/>
              </w:rPr>
              <w:t xml:space="preserve"> </w:t>
            </w:r>
            <w:r w:rsidRPr="65A0E7E1">
              <w:rPr>
                <w:sz w:val="20"/>
                <w:szCs w:val="20"/>
              </w:rPr>
              <w:t>Training P</w:t>
            </w:r>
            <w:r w:rsidRPr="65A0E7E1">
              <w:rPr>
                <w:color w:val="000000" w:themeColor="text1"/>
                <w:sz w:val="20"/>
                <w:szCs w:val="20"/>
              </w:rPr>
              <w:t xml:space="preserve">lan. </w:t>
            </w:r>
          </w:p>
          <w:p w:rsidR="003C2DE1" w:rsidP="65A0E7E1" w:rsidRDefault="00F97212" w14:paraId="21272873" w14:textId="5327AF98">
            <w:pPr>
              <w:pStyle w:val="ListParagraph"/>
              <w:numPr>
                <w:ilvl w:val="1"/>
                <w:numId w:val="3"/>
              </w:numPr>
              <w:spacing w:before="60" w:after="60"/>
              <w:ind w:right="240"/>
              <w:rPr>
                <w:rFonts w:ascii="Symbol" w:hAnsi="Symbol" w:eastAsia="Symbol" w:cs="Symbol"/>
                <w:color w:val="000000" w:themeColor="text1"/>
                <w:sz w:val="20"/>
                <w:szCs w:val="20"/>
              </w:rPr>
            </w:pPr>
            <w:r w:rsidRPr="65A0E7E1">
              <w:rPr>
                <w:sz w:val="20"/>
                <w:szCs w:val="20"/>
              </w:rPr>
              <w:t>An</w:t>
            </w:r>
            <w:r w:rsidRPr="65A0E7E1">
              <w:rPr>
                <w:color w:val="000000" w:themeColor="text1"/>
                <w:sz w:val="20"/>
                <w:szCs w:val="20"/>
              </w:rPr>
              <w:t xml:space="preserve"> </w:t>
            </w:r>
            <w:r w:rsidRPr="65A0E7E1">
              <w:rPr>
                <w:b/>
                <w:bCs/>
                <w:color w:val="000000" w:themeColor="text1"/>
                <w:sz w:val="20"/>
                <w:szCs w:val="20"/>
              </w:rPr>
              <w:t>SWPP evidence initial report</w:t>
            </w:r>
            <w:r w:rsidRPr="65A0E7E1">
              <w:rPr>
                <w:color w:val="000000" w:themeColor="text1"/>
                <w:sz w:val="20"/>
                <w:szCs w:val="20"/>
              </w:rPr>
              <w:t xml:space="preserve"> </w:t>
            </w:r>
            <w:r w:rsidRPr="65A0E7E1">
              <w:rPr>
                <w:sz w:val="20"/>
                <w:szCs w:val="20"/>
              </w:rPr>
              <w:t xml:space="preserve">and a </w:t>
            </w:r>
            <w:r w:rsidRPr="65A0E7E1">
              <w:rPr>
                <w:b/>
                <w:bCs/>
                <w:sz w:val="20"/>
                <w:szCs w:val="20"/>
              </w:rPr>
              <w:t>SWPP Initial Rating Response Form</w:t>
            </w:r>
            <w:r w:rsidRPr="65A0E7E1">
              <w:rPr>
                <w:i/>
                <w:iCs/>
                <w:sz w:val="20"/>
                <w:szCs w:val="20"/>
              </w:rPr>
              <w:t xml:space="preserve"> </w:t>
            </w:r>
            <w:r w:rsidRPr="65A0E7E1">
              <w:rPr>
                <w:sz w:val="20"/>
                <w:szCs w:val="20"/>
              </w:rPr>
              <w:t>i</w:t>
            </w:r>
            <w:r w:rsidRPr="65A0E7E1">
              <w:rPr>
                <w:color w:val="000000" w:themeColor="text1"/>
                <w:sz w:val="20"/>
                <w:szCs w:val="20"/>
              </w:rPr>
              <w:t xml:space="preserve">s sent to the system contacts, showing initial ratings (Yes, No, N/A) for each item. If an item has been rated No, the report states why the evidence was inadequate. The report also includes NAEYC staff’s review of the system’s </w:t>
            </w:r>
            <w:r w:rsidRPr="65A0E7E1">
              <w:rPr>
                <w:sz w:val="20"/>
                <w:szCs w:val="20"/>
              </w:rPr>
              <w:t>Training Pla</w:t>
            </w:r>
            <w:r w:rsidRPr="65A0E7E1">
              <w:rPr>
                <w:color w:val="000000" w:themeColor="text1"/>
                <w:sz w:val="20"/>
                <w:szCs w:val="20"/>
              </w:rPr>
              <w:t>n, indicating if the plan is acceptable as submitted, or whether additions or revisions to the plan are requested.</w:t>
            </w:r>
          </w:p>
          <w:p w:rsidR="003C2DE1" w:rsidP="65A0E7E1" w:rsidRDefault="00F97212" w14:paraId="0000004A" w14:textId="77777777">
            <w:pPr>
              <w:pStyle w:val="ListParagraph"/>
              <w:numPr>
                <w:ilvl w:val="0"/>
                <w:numId w:val="1"/>
              </w:numPr>
              <w:spacing w:before="60" w:after="60"/>
              <w:ind w:right="240"/>
              <w:rPr>
                <w:rFonts w:ascii="Symbol" w:hAnsi="Symbol" w:eastAsia="Symbol" w:cs="Symbol"/>
                <w:color w:val="000000"/>
                <w:sz w:val="20"/>
                <w:szCs w:val="20"/>
              </w:rPr>
            </w:pPr>
            <w:r>
              <w:rPr>
                <w:color w:val="000000"/>
                <w:sz w:val="20"/>
                <w:szCs w:val="20"/>
                <w:u w:val="single"/>
              </w:rPr>
              <w:t>Step 2: System Response</w:t>
            </w:r>
            <w:r>
              <w:rPr>
                <w:color w:val="000000"/>
                <w:sz w:val="20"/>
                <w:szCs w:val="20"/>
              </w:rPr>
              <w:t xml:space="preserve"> (up to 30 days): Once the report is received, the system has 30 days to respond</w:t>
            </w:r>
            <w:r>
              <w:rPr>
                <w:sz w:val="20"/>
                <w:szCs w:val="20"/>
              </w:rPr>
              <w:t xml:space="preserve">. Submit a signed and completed </w:t>
            </w:r>
            <w:r w:rsidRPr="65A0E7E1">
              <w:rPr>
                <w:i/>
                <w:iCs/>
                <w:sz w:val="20"/>
                <w:szCs w:val="20"/>
              </w:rPr>
              <w:t xml:space="preserve">SWPP Initial Rating Response Form, </w:t>
            </w:r>
            <w:r>
              <w:rPr>
                <w:sz w:val="20"/>
                <w:szCs w:val="20"/>
              </w:rPr>
              <w:t>indicating f</w:t>
            </w:r>
            <w:r>
              <w:rPr>
                <w:color w:val="000000"/>
                <w:sz w:val="20"/>
                <w:szCs w:val="20"/>
              </w:rPr>
              <w:t xml:space="preserve">or any items that were rated </w:t>
            </w:r>
            <w:r w:rsidRPr="65A0E7E1">
              <w:rPr>
                <w:i/>
                <w:iCs/>
                <w:color w:val="000000"/>
                <w:sz w:val="20"/>
                <w:szCs w:val="20"/>
              </w:rPr>
              <w:t>No</w:t>
            </w:r>
            <w:r>
              <w:rPr>
                <w:sz w:val="20"/>
                <w:szCs w:val="20"/>
              </w:rPr>
              <w:t xml:space="preserve"> whether you will (1) s</w:t>
            </w:r>
            <w:r w:rsidRPr="65A0E7E1">
              <w:rPr>
                <w:color w:val="000000"/>
                <w:sz w:val="20"/>
                <w:szCs w:val="20"/>
              </w:rPr>
              <w:t>ubmit revised evidence for an item</w:t>
            </w:r>
            <w:r>
              <w:rPr>
                <w:sz w:val="20"/>
                <w:szCs w:val="20"/>
              </w:rPr>
              <w:t xml:space="preserve">; (2) </w:t>
            </w:r>
            <w:r w:rsidRPr="65A0E7E1">
              <w:rPr>
                <w:color w:val="000000"/>
                <w:sz w:val="20"/>
                <w:szCs w:val="20"/>
              </w:rPr>
              <w:t xml:space="preserve">accept the </w:t>
            </w:r>
            <w:r w:rsidRPr="65A0E7E1">
              <w:rPr>
                <w:i/>
                <w:iCs/>
                <w:color w:val="000000"/>
                <w:sz w:val="20"/>
                <w:szCs w:val="20"/>
              </w:rPr>
              <w:t>No</w:t>
            </w:r>
            <w:r w:rsidRPr="65A0E7E1">
              <w:rPr>
                <w:color w:val="000000"/>
                <w:sz w:val="20"/>
                <w:szCs w:val="20"/>
              </w:rPr>
              <w:t xml:space="preserve"> rating as a </w:t>
            </w:r>
            <w:r>
              <w:rPr>
                <w:sz w:val="20"/>
                <w:szCs w:val="20"/>
              </w:rPr>
              <w:t>system-wide</w:t>
            </w:r>
            <w:r w:rsidRPr="65A0E7E1">
              <w:rPr>
                <w:color w:val="000000"/>
                <w:sz w:val="20"/>
                <w:szCs w:val="20"/>
              </w:rPr>
              <w:t xml:space="preserve"> rating</w:t>
            </w:r>
            <w:r>
              <w:rPr>
                <w:sz w:val="20"/>
                <w:szCs w:val="20"/>
              </w:rPr>
              <w:t xml:space="preserve">; or (3) </w:t>
            </w:r>
            <w:r w:rsidRPr="65A0E7E1">
              <w:rPr>
                <w:color w:val="000000"/>
                <w:sz w:val="20"/>
                <w:szCs w:val="20"/>
              </w:rPr>
              <w:t xml:space="preserve">you wish the item to be left unrated on the </w:t>
            </w:r>
            <w:r>
              <w:rPr>
                <w:sz w:val="20"/>
                <w:szCs w:val="20"/>
              </w:rPr>
              <w:t>system-wide</w:t>
            </w:r>
            <w:r w:rsidRPr="65A0E7E1">
              <w:rPr>
                <w:color w:val="000000"/>
                <w:sz w:val="20"/>
                <w:szCs w:val="20"/>
              </w:rPr>
              <w:t xml:space="preserve"> level, to be evaluated during the site visit with </w:t>
            </w:r>
            <w:r>
              <w:rPr>
                <w:sz w:val="20"/>
                <w:szCs w:val="20"/>
              </w:rPr>
              <w:t>program-specific</w:t>
            </w:r>
            <w:r w:rsidRPr="65A0E7E1">
              <w:rPr>
                <w:color w:val="000000"/>
                <w:sz w:val="20"/>
                <w:szCs w:val="20"/>
              </w:rPr>
              <w:t xml:space="preserve"> evidence. </w:t>
            </w:r>
          </w:p>
          <w:p w:rsidR="003C2DE1" w:rsidRDefault="00F97212" w14:paraId="0000004B" w14:textId="77777777">
            <w:pPr>
              <w:pStyle w:val="Normal0"/>
              <w:spacing w:before="60" w:after="60"/>
              <w:ind w:left="690" w:right="245"/>
              <w:rPr>
                <w:sz w:val="20"/>
                <w:szCs w:val="20"/>
              </w:rPr>
            </w:pPr>
            <w:r>
              <w:rPr>
                <w:sz w:val="20"/>
                <w:szCs w:val="20"/>
              </w:rPr>
              <w:t>If no additional evidence is received within 30 days, initial ratings become final.</w:t>
            </w:r>
          </w:p>
          <w:p w:rsidR="003C2DE1" w:rsidRDefault="00F97212" w14:paraId="0000004C" w14:textId="77777777">
            <w:pPr>
              <w:pStyle w:val="Normal0"/>
              <w:spacing w:before="60" w:after="60"/>
              <w:ind w:left="690" w:right="245"/>
              <w:rPr>
                <w:sz w:val="20"/>
                <w:szCs w:val="20"/>
              </w:rPr>
            </w:pPr>
            <w:r>
              <w:rPr>
                <w:color w:val="000000"/>
                <w:sz w:val="20"/>
                <w:szCs w:val="20"/>
              </w:rPr>
              <w:t xml:space="preserve">If additions or revisions were requested for the </w:t>
            </w:r>
            <w:r>
              <w:rPr>
                <w:sz w:val="20"/>
                <w:szCs w:val="20"/>
              </w:rPr>
              <w:t>managers’ Training Plan</w:t>
            </w:r>
            <w:r>
              <w:rPr>
                <w:color w:val="000000"/>
                <w:sz w:val="20"/>
                <w:szCs w:val="20"/>
              </w:rPr>
              <w:t>, these must be submitted at this time as well.</w:t>
            </w:r>
          </w:p>
          <w:p w:rsidR="003C2DE1" w:rsidRDefault="00F97212" w14:paraId="0000004D" w14:textId="77777777">
            <w:pPr>
              <w:pStyle w:val="Normal0"/>
              <w:numPr>
                <w:ilvl w:val="0"/>
                <w:numId w:val="6"/>
              </w:numPr>
              <w:pBdr>
                <w:top w:val="nil"/>
                <w:left w:val="nil"/>
                <w:bottom w:val="nil"/>
                <w:right w:val="nil"/>
                <w:between w:val="nil"/>
              </w:pBdr>
              <w:spacing w:before="60" w:after="60"/>
              <w:ind w:left="691" w:right="245"/>
              <w:rPr>
                <w:rFonts w:ascii="Times New Roman" w:hAnsi="Times New Roman" w:eastAsia="Times New Roman" w:cs="Times New Roman"/>
                <w:color w:val="000000"/>
                <w:sz w:val="20"/>
                <w:szCs w:val="20"/>
              </w:rPr>
            </w:pPr>
            <w:r>
              <w:rPr>
                <w:color w:val="000000"/>
                <w:sz w:val="20"/>
                <w:szCs w:val="20"/>
                <w:u w:val="single"/>
              </w:rPr>
              <w:t>Step 3: Final review</w:t>
            </w:r>
            <w:r>
              <w:rPr>
                <w:color w:val="000000"/>
                <w:sz w:val="20"/>
                <w:szCs w:val="20"/>
              </w:rPr>
              <w:t xml:space="preserve"> (up to 30 days): NAEYC Assessors rate revised evidence using the same process as that of the initial rating. New ratings are combined with prior ratings to produce </w:t>
            </w:r>
            <w:r>
              <w:rPr>
                <w:sz w:val="20"/>
                <w:szCs w:val="20"/>
              </w:rPr>
              <w:t>an</w:t>
            </w:r>
            <w:r>
              <w:rPr>
                <w:color w:val="000000"/>
                <w:sz w:val="20"/>
                <w:szCs w:val="20"/>
              </w:rPr>
              <w:t xml:space="preserve"> </w:t>
            </w:r>
            <w:r>
              <w:rPr>
                <w:b/>
                <w:color w:val="000000"/>
                <w:sz w:val="20"/>
                <w:szCs w:val="20"/>
              </w:rPr>
              <w:t>SWPP evidence final report</w:t>
            </w:r>
            <w:r>
              <w:rPr>
                <w:color w:val="000000"/>
                <w:sz w:val="20"/>
                <w:szCs w:val="20"/>
              </w:rPr>
              <w:t>. The report also includes a final determination for the system’s site manager/ program administrator plan.</w:t>
            </w:r>
          </w:p>
          <w:p w:rsidR="003C2DE1" w:rsidRDefault="00F97212" w14:paraId="0000004E" w14:textId="77777777">
            <w:pPr>
              <w:pStyle w:val="Normal0"/>
              <w:spacing w:before="60" w:after="60"/>
              <w:ind w:left="150" w:right="330"/>
              <w:rPr>
                <w:sz w:val="20"/>
                <w:szCs w:val="20"/>
              </w:rPr>
            </w:pPr>
            <w:r>
              <w:rPr>
                <w:color w:val="000000"/>
                <w:sz w:val="20"/>
                <w:szCs w:val="20"/>
              </w:rPr>
              <w:t xml:space="preserve">The participating system is responsible for communicating to its programs which evidence has been rated on a system-level basis and </w:t>
            </w:r>
            <w:r>
              <w:rPr>
                <w:sz w:val="20"/>
                <w:szCs w:val="20"/>
              </w:rPr>
              <w:t>which must be addressed on a program-specific basis.</w:t>
            </w:r>
          </w:p>
          <w:p w:rsidR="003C2DE1" w:rsidRDefault="00F97212" w14:paraId="0000004F" w14:textId="77777777">
            <w:pPr>
              <w:pStyle w:val="Normal0"/>
              <w:spacing w:before="60" w:after="60"/>
              <w:ind w:left="150" w:right="330"/>
              <w:rPr>
                <w:rFonts w:ascii="Times New Roman" w:hAnsi="Times New Roman" w:eastAsia="Times New Roman" w:cs="Times New Roman"/>
                <w:sz w:val="20"/>
                <w:szCs w:val="20"/>
              </w:rPr>
            </w:pPr>
            <w:r>
              <w:rPr>
                <w:sz w:val="20"/>
                <w:szCs w:val="20"/>
                <w:highlight w:val="white"/>
              </w:rPr>
              <w:t xml:space="preserve">NAEYC creates a Program Portfolio rating tool specific to your system, with all system-wide items pre-rated as determined above. </w:t>
            </w:r>
            <w:r>
              <w:rPr>
                <w:color w:val="000000"/>
                <w:sz w:val="20"/>
                <w:szCs w:val="20"/>
              </w:rPr>
              <w:t xml:space="preserve">During a site visit, programs within the system provide the assessor with a program portfolio containing program-specific evidence to be rated on-site. </w:t>
            </w:r>
          </w:p>
          <w:p w:rsidR="00767CEF" w:rsidP="2F55DB67" w:rsidRDefault="00F97212" w14:paraId="54706324" w14:textId="77777777">
            <w:pPr>
              <w:pStyle w:val="Normal0"/>
              <w:spacing w:before="60" w:after="60"/>
              <w:ind w:left="150" w:right="330"/>
              <w:rPr>
                <w:color w:val="000000" w:themeColor="text1"/>
                <w:sz w:val="20"/>
                <w:szCs w:val="20"/>
              </w:rPr>
            </w:pPr>
            <w:r w:rsidRPr="053B01C9" w:rsidR="00F97212">
              <w:rPr>
                <w:color w:val="000000" w:themeColor="text1" w:themeTint="FF" w:themeShade="FF"/>
                <w:sz w:val="20"/>
                <w:szCs w:val="20"/>
              </w:rPr>
              <w:t xml:space="preserve">The </w:t>
            </w:r>
            <w:r w:rsidRPr="053B01C9" w:rsidR="00F97212">
              <w:rPr>
                <w:b w:val="1"/>
                <w:bCs w:val="1"/>
                <w:color w:val="000000" w:themeColor="text1" w:themeTint="FF" w:themeShade="FF"/>
                <w:sz w:val="20"/>
                <w:szCs w:val="20"/>
              </w:rPr>
              <w:t xml:space="preserve">SWPP Annual Renewal </w:t>
            </w:r>
            <w:r w:rsidRPr="053B01C9" w:rsidR="00F97212">
              <w:rPr>
                <w:color w:val="000000" w:themeColor="text1" w:themeTint="FF" w:themeShade="FF"/>
                <w:sz w:val="20"/>
                <w:szCs w:val="20"/>
              </w:rPr>
              <w:t>process requires systems to submit new evidence if the system has updated policies and procedures related to SWPP items. Systems will also be asked to review NAEYC item changes and submit evidence if item changes require it for your system. There is a fee associated with the Annual Review fee process. Systems that do not submit the annual fee (with or without updated evidence) are withdrawn from the system-wide PP evidence program.</w:t>
            </w:r>
            <w:r w:rsidRPr="053B01C9" w:rsidR="5BFE50C1">
              <w:rPr>
                <w:color w:val="000000" w:themeColor="text1" w:themeTint="FF" w:themeShade="FF"/>
                <w:sz w:val="20"/>
                <w:szCs w:val="20"/>
              </w:rPr>
              <w:t xml:space="preserve"> </w:t>
            </w:r>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p>
          <w:p w:rsidR="003C2DE1" w:rsidP="2F55DB67" w:rsidRDefault="00D6254B" w14:paraId="00000050" w14:textId="3753AB88">
            <w:pPr>
              <w:pStyle w:val="Normal0"/>
              <w:spacing w:before="60" w:after="60"/>
              <w:ind w:left="150" w:right="330"/>
              <w:rPr>
                <w:color w:val="000000" w:themeColor="text1"/>
                <w:sz w:val="20"/>
                <w:szCs w:val="20"/>
              </w:rPr>
            </w:pPr>
            <w:r w:rsidRPr="5451639C" w:rsidR="3A18EC55">
              <w:rPr>
                <w:color w:val="000000" w:themeColor="text1" w:themeTint="FF" w:themeShade="FF"/>
                <w:sz w:val="20"/>
                <w:szCs w:val="20"/>
              </w:rPr>
              <w:t>All information and evidence within the SWPP will remain confidential and only shared internally to support the assessment process. NAEYC will not share contents of any SWPP without the approval and signature of program leadership.</w:t>
            </w:r>
          </w:p>
        </w:tc>
      </w:tr>
      <w:tr w:rsidR="003C2DE1" w:rsidTr="053B01C9" w14:paraId="37F3A627" w14:textId="77777777">
        <w:trPr>
          <w:trHeight w:val="540"/>
        </w:trPr>
        <w:tc>
          <w:tcPr>
            <w:tcW w:w="10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15" w:type="dxa"/>
              <w:bottom w:w="0" w:type="dxa"/>
              <w:right w:w="115" w:type="dxa"/>
            </w:tcMar>
            <w:vAlign w:val="center"/>
          </w:tcPr>
          <w:p w:rsidR="003C2DE1" w:rsidRDefault="00F97212" w14:paraId="00000051" w14:textId="77777777">
            <w:pPr>
              <w:pStyle w:val="Normal0"/>
              <w:spacing w:before="60" w:after="60"/>
              <w:rPr>
                <w:rFonts w:ascii="Times New Roman" w:hAnsi="Times New Roman" w:eastAsia="Times New Roman" w:cs="Times New Roman"/>
                <w:sz w:val="24"/>
                <w:szCs w:val="24"/>
              </w:rPr>
            </w:pPr>
            <w:r w:rsidRPr="65A0E7E1">
              <w:rPr>
                <w:b/>
                <w:bCs/>
                <w:color w:val="000000"/>
              </w:rPr>
              <w:t>SWPP Submission Steps</w:t>
            </w:r>
          </w:p>
        </w:tc>
      </w:tr>
      <w:tr w:rsidR="003C2DE1" w:rsidTr="053B01C9" w14:paraId="72B10A67" w14:textId="77777777">
        <w:trPr>
          <w:trHeight w:val="340"/>
        </w:trPr>
        <w:tc>
          <w:tcPr>
            <w:tcW w:w="108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15" w:type="dxa"/>
              <w:bottom w:w="0" w:type="dxa"/>
              <w:right w:w="115" w:type="dxa"/>
            </w:tcMar>
            <w:vAlign w:val="center"/>
          </w:tcPr>
          <w:p w:rsidR="003C2DE1" w:rsidRDefault="00F97212" w14:paraId="00000052" w14:textId="77777777">
            <w:pPr>
              <w:pStyle w:val="Normal0"/>
              <w:spacing w:before="60" w:after="60"/>
              <w:rPr>
                <w:sz w:val="20"/>
                <w:szCs w:val="20"/>
              </w:rPr>
            </w:pPr>
            <w:proofErr w:type="gramStart"/>
            <w:r>
              <w:rPr>
                <w:b/>
                <w:color w:val="000000"/>
                <w:sz w:val="20"/>
                <w:szCs w:val="20"/>
              </w:rPr>
              <w:t>In order to</w:t>
            </w:r>
            <w:proofErr w:type="gramEnd"/>
            <w:r>
              <w:rPr>
                <w:b/>
                <w:color w:val="000000"/>
                <w:sz w:val="20"/>
                <w:szCs w:val="20"/>
              </w:rPr>
              <w:t xml:space="preserve"> take part in the SWPP evidence review, systems must:</w:t>
            </w:r>
          </w:p>
          <w:p w:rsidR="003C2DE1" w:rsidRDefault="00F97212" w14:paraId="00000053" w14:textId="77777777">
            <w:pPr>
              <w:pStyle w:val="Normal0"/>
              <w:numPr>
                <w:ilvl w:val="0"/>
                <w:numId w:val="7"/>
              </w:numPr>
              <w:pBdr>
                <w:top w:val="nil"/>
                <w:left w:val="nil"/>
                <w:bottom w:val="nil"/>
                <w:right w:val="nil"/>
                <w:between w:val="nil"/>
              </w:pBdr>
              <w:spacing w:before="60"/>
              <w:ind w:left="510"/>
              <w:rPr>
                <w:color w:val="000000"/>
                <w:sz w:val="20"/>
                <w:szCs w:val="20"/>
              </w:rPr>
            </w:pPr>
            <w:r>
              <w:rPr>
                <w:color w:val="000000"/>
                <w:sz w:val="20"/>
                <w:szCs w:val="20"/>
              </w:rPr>
              <w:t xml:space="preserve">Submit this application by emailing the completed form as an attachment to </w:t>
            </w:r>
            <w:hyperlink r:id="rId15">
              <w:r>
                <w:rPr>
                  <w:rFonts w:ascii="Roboto" w:hAnsi="Roboto" w:eastAsia="Roboto" w:cs="Roboto"/>
                  <w:color w:val="1155CC"/>
                  <w:sz w:val="21"/>
                  <w:szCs w:val="21"/>
                  <w:highlight w:val="white"/>
                  <w:u w:val="single"/>
                </w:rPr>
                <w:t>accreditation.information@naeyc.org</w:t>
              </w:r>
            </w:hyperlink>
            <w:r>
              <w:rPr>
                <w:color w:val="000000"/>
                <w:sz w:val="20"/>
                <w:szCs w:val="20"/>
              </w:rPr>
              <w:t xml:space="preserve">. </w:t>
            </w:r>
          </w:p>
          <w:p w:rsidR="003C2DE1" w:rsidRDefault="00F97212" w14:paraId="00000054" w14:textId="77777777">
            <w:pPr>
              <w:pStyle w:val="Normal0"/>
              <w:numPr>
                <w:ilvl w:val="0"/>
                <w:numId w:val="7"/>
              </w:numPr>
              <w:pBdr>
                <w:top w:val="nil"/>
                <w:left w:val="nil"/>
                <w:bottom w:val="nil"/>
                <w:right w:val="nil"/>
                <w:between w:val="nil"/>
              </w:pBdr>
              <w:spacing w:after="60"/>
              <w:ind w:left="510"/>
              <w:rPr>
                <w:color w:val="000000"/>
                <w:sz w:val="20"/>
                <w:szCs w:val="20"/>
              </w:rPr>
            </w:pPr>
            <w:r>
              <w:rPr>
                <w:color w:val="000000"/>
                <w:sz w:val="20"/>
                <w:szCs w:val="20"/>
              </w:rPr>
              <w:t xml:space="preserve">Submit payment based on the size of the system: </w:t>
            </w:r>
          </w:p>
          <w:tbl>
            <w:tblPr>
              <w:tblW w:w="10080" w:type="dxa"/>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10"/>
              <w:gridCol w:w="2700"/>
              <w:gridCol w:w="4770"/>
            </w:tblGrid>
            <w:tr w:rsidR="003C2DE1" w:rsidTr="2B5134F3" w14:paraId="404667F0" w14:textId="77777777">
              <w:trPr>
                <w:trHeight w:val="233"/>
              </w:trPr>
              <w:tc>
                <w:tcPr>
                  <w:tcW w:w="2610" w:type="dxa"/>
                </w:tcPr>
                <w:p w:rsidR="003C2DE1" w:rsidRDefault="00F97212" w14:paraId="00000055" w14:textId="1053C710">
                  <w:pPr>
                    <w:pStyle w:val="Normal0"/>
                    <w:spacing w:before="60" w:after="60"/>
                    <w:rPr>
                      <w:sz w:val="20"/>
                      <w:szCs w:val="20"/>
                    </w:rPr>
                  </w:pPr>
                  <w:r w:rsidRPr="63E70850">
                    <w:rPr>
                      <w:sz w:val="20"/>
                      <w:szCs w:val="20"/>
                    </w:rPr>
                    <w:t>5 -100 programs = $2,875</w:t>
                  </w:r>
                </w:p>
              </w:tc>
              <w:tc>
                <w:tcPr>
                  <w:tcW w:w="2700" w:type="dxa"/>
                </w:tcPr>
                <w:p w:rsidR="003C2DE1" w:rsidRDefault="00F97212" w14:paraId="00000056" w14:textId="1B0790C8">
                  <w:pPr>
                    <w:pStyle w:val="Normal0"/>
                    <w:spacing w:before="60" w:after="60"/>
                    <w:rPr>
                      <w:sz w:val="20"/>
                      <w:szCs w:val="20"/>
                    </w:rPr>
                  </w:pPr>
                  <w:r w:rsidRPr="63E70850">
                    <w:rPr>
                      <w:sz w:val="20"/>
                      <w:szCs w:val="20"/>
                    </w:rPr>
                    <w:t xml:space="preserve">101-500 programs =$4,600 </w:t>
                  </w:r>
                </w:p>
              </w:tc>
              <w:tc>
                <w:tcPr>
                  <w:tcW w:w="4770" w:type="dxa"/>
                </w:tcPr>
                <w:p w:rsidR="003C2DE1" w:rsidRDefault="00F97212" w14:paraId="00000057" w14:textId="77777777">
                  <w:pPr>
                    <w:pStyle w:val="Normal0"/>
                    <w:spacing w:before="60" w:after="60"/>
                    <w:rPr>
                      <w:sz w:val="20"/>
                      <w:szCs w:val="20"/>
                    </w:rPr>
                  </w:pPr>
                  <w:r>
                    <w:rPr>
                      <w:sz w:val="20"/>
                      <w:szCs w:val="20"/>
                    </w:rPr>
                    <w:t xml:space="preserve">501+ programs price negotiated for initial review process </w:t>
                  </w:r>
                  <w:r w:rsidRPr="2B5134F3">
                    <w:rPr>
                      <w:i/>
                      <w:iCs/>
                      <w:sz w:val="18"/>
                      <w:szCs w:val="18"/>
                    </w:rPr>
                    <w:t>(through Final Report)</w:t>
                  </w:r>
                </w:p>
              </w:tc>
            </w:tr>
          </w:tbl>
          <w:p w:rsidR="003C2DE1" w:rsidRDefault="00F97212" w14:paraId="00000058" w14:textId="77777777">
            <w:pPr>
              <w:pStyle w:val="Normal0"/>
              <w:pBdr>
                <w:top w:val="nil"/>
                <w:left w:val="nil"/>
                <w:bottom w:val="nil"/>
                <w:right w:val="nil"/>
                <w:between w:val="nil"/>
              </w:pBdr>
              <w:spacing w:before="60" w:after="60"/>
              <w:ind w:left="504"/>
              <w:rPr>
                <w:color w:val="000000"/>
                <w:sz w:val="20"/>
                <w:szCs w:val="20"/>
              </w:rPr>
            </w:pPr>
            <w:r>
              <w:rPr>
                <w:b/>
                <w:color w:val="000000"/>
                <w:sz w:val="20"/>
                <w:szCs w:val="20"/>
              </w:rPr>
              <w:t>Annual reviews</w:t>
            </w:r>
            <w:r>
              <w:rPr>
                <w:color w:val="000000"/>
                <w:sz w:val="20"/>
                <w:szCs w:val="20"/>
              </w:rPr>
              <w:t xml:space="preserve"> of updated evidence based on the size of the system and the date of the annual review </w:t>
            </w:r>
            <w:r>
              <w:rPr>
                <w:sz w:val="20"/>
                <w:szCs w:val="20"/>
              </w:rPr>
              <w:t>are</w:t>
            </w:r>
            <w:r>
              <w:rPr>
                <w:color w:val="000000"/>
                <w:sz w:val="20"/>
                <w:szCs w:val="20"/>
              </w:rPr>
              <w:t xml:space="preserve"> specific</w:t>
            </w:r>
            <w:r>
              <w:rPr>
                <w:sz w:val="20"/>
                <w:szCs w:val="20"/>
              </w:rPr>
              <w:t xml:space="preserve"> </w:t>
            </w:r>
            <w:r>
              <w:rPr>
                <w:color w:val="000000"/>
                <w:sz w:val="20"/>
                <w:szCs w:val="20"/>
              </w:rPr>
              <w:t>to each system.</w:t>
            </w:r>
          </w:p>
          <w:tbl>
            <w:tblPr>
              <w:tblW w:w="9830" w:type="dxa"/>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76"/>
              <w:gridCol w:w="3277"/>
              <w:gridCol w:w="3277"/>
            </w:tblGrid>
            <w:tr w:rsidR="003C2DE1" w:rsidTr="0311A25C" w14:paraId="05C079AE" w14:textId="77777777">
              <w:trPr>
                <w:trHeight w:val="233"/>
              </w:trPr>
              <w:tc>
                <w:tcPr>
                  <w:tcW w:w="3276" w:type="dxa"/>
                </w:tcPr>
                <w:p w:rsidR="003C2DE1" w:rsidRDefault="00F97212" w14:paraId="00000059" w14:textId="1A43C200">
                  <w:pPr>
                    <w:pStyle w:val="Normal0"/>
                    <w:spacing w:before="60" w:after="60"/>
                    <w:rPr>
                      <w:sz w:val="20"/>
                      <w:szCs w:val="20"/>
                    </w:rPr>
                  </w:pPr>
                  <w:r w:rsidRPr="62A649E0">
                    <w:rPr>
                      <w:sz w:val="20"/>
                      <w:szCs w:val="20"/>
                    </w:rPr>
                    <w:t>5 -100 programs = $500</w:t>
                  </w:r>
                </w:p>
              </w:tc>
              <w:tc>
                <w:tcPr>
                  <w:tcW w:w="3277" w:type="dxa"/>
                </w:tcPr>
                <w:p w:rsidR="003C2DE1" w:rsidRDefault="00F97212" w14:paraId="0000005A" w14:textId="50A1E5BA">
                  <w:pPr>
                    <w:pStyle w:val="Normal0"/>
                    <w:spacing w:before="60" w:after="60"/>
                    <w:rPr>
                      <w:sz w:val="20"/>
                      <w:szCs w:val="20"/>
                    </w:rPr>
                  </w:pPr>
                  <w:r w:rsidRPr="62A649E0">
                    <w:rPr>
                      <w:sz w:val="20"/>
                      <w:szCs w:val="20"/>
                    </w:rPr>
                    <w:t xml:space="preserve">100-500 programs = $700 </w:t>
                  </w:r>
                </w:p>
              </w:tc>
              <w:tc>
                <w:tcPr>
                  <w:tcW w:w="3277" w:type="dxa"/>
                </w:tcPr>
                <w:p w:rsidR="003C2DE1" w:rsidRDefault="00F97212" w14:paraId="0000005B" w14:textId="77777777">
                  <w:pPr>
                    <w:pStyle w:val="Normal0"/>
                    <w:spacing w:before="60" w:after="60"/>
                    <w:rPr>
                      <w:sz w:val="20"/>
                      <w:szCs w:val="20"/>
                    </w:rPr>
                  </w:pPr>
                  <w:r>
                    <w:rPr>
                      <w:sz w:val="20"/>
                      <w:szCs w:val="20"/>
                    </w:rPr>
                    <w:t>500+ programs = 900</w:t>
                  </w:r>
                </w:p>
              </w:tc>
            </w:tr>
          </w:tbl>
          <w:p w:rsidR="003C2DE1" w:rsidRDefault="00F97212" w14:paraId="0000005C" w14:textId="77777777">
            <w:pPr>
              <w:pStyle w:val="Normal0"/>
              <w:numPr>
                <w:ilvl w:val="0"/>
                <w:numId w:val="7"/>
              </w:numPr>
              <w:pBdr>
                <w:top w:val="nil"/>
                <w:left w:val="nil"/>
                <w:bottom w:val="nil"/>
                <w:right w:val="nil"/>
                <w:between w:val="nil"/>
              </w:pBdr>
              <w:spacing w:before="60"/>
              <w:rPr>
                <w:color w:val="000000"/>
                <w:sz w:val="20"/>
                <w:szCs w:val="20"/>
              </w:rPr>
            </w:pPr>
            <w:r>
              <w:rPr>
                <w:color w:val="000000"/>
                <w:sz w:val="20"/>
                <w:szCs w:val="20"/>
              </w:rPr>
              <w:t>Submit relevant SWPP evidence to NAEYC Accreditation of Early Learning Programs.</w:t>
            </w:r>
            <w:r>
              <w:rPr>
                <w:b/>
                <w:i/>
                <w:color w:val="000000"/>
                <w:sz w:val="20"/>
                <w:szCs w:val="20"/>
              </w:rPr>
              <w:t xml:space="preserve"> Evidence must be submitted in digital form using a ShareFile li</w:t>
            </w:r>
            <w:r>
              <w:rPr>
                <w:b/>
                <w:i/>
                <w:sz w:val="20"/>
                <w:szCs w:val="20"/>
              </w:rPr>
              <w:t>nk that will be given to you</w:t>
            </w:r>
            <w:r>
              <w:rPr>
                <w:b/>
                <w:i/>
                <w:color w:val="000000"/>
                <w:sz w:val="20"/>
                <w:szCs w:val="20"/>
              </w:rPr>
              <w:t>.</w:t>
            </w:r>
          </w:p>
          <w:p w:rsidR="003C2DE1" w:rsidRDefault="00F97212" w14:paraId="0000005D" w14:textId="77777777">
            <w:pPr>
              <w:pStyle w:val="Normal0"/>
              <w:numPr>
                <w:ilvl w:val="0"/>
                <w:numId w:val="7"/>
              </w:numPr>
              <w:pBdr>
                <w:top w:val="nil"/>
                <w:left w:val="nil"/>
                <w:bottom w:val="nil"/>
                <w:right w:val="nil"/>
                <w:between w:val="nil"/>
              </w:pBdr>
              <w:rPr>
                <w:color w:val="000000"/>
                <w:sz w:val="20"/>
                <w:szCs w:val="20"/>
              </w:rPr>
            </w:pPr>
            <w:r>
              <w:rPr>
                <w:color w:val="000000"/>
                <w:sz w:val="20"/>
                <w:szCs w:val="20"/>
              </w:rPr>
              <w:t>Submit the system</w:t>
            </w:r>
            <w:r>
              <w:rPr>
                <w:sz w:val="20"/>
                <w:szCs w:val="20"/>
              </w:rPr>
              <w:t>’s</w:t>
            </w:r>
            <w:r>
              <w:rPr>
                <w:color w:val="000000"/>
                <w:sz w:val="20"/>
                <w:szCs w:val="20"/>
              </w:rPr>
              <w:t xml:space="preserve"> </w:t>
            </w:r>
            <w:r>
              <w:rPr>
                <w:sz w:val="20"/>
                <w:szCs w:val="20"/>
              </w:rPr>
              <w:t>managers Training Plan</w:t>
            </w:r>
            <w:r>
              <w:rPr>
                <w:color w:val="000000"/>
                <w:sz w:val="20"/>
                <w:szCs w:val="20"/>
              </w:rPr>
              <w:t xml:space="preserve"> for assuring that program administrators develop an understanding of how program policies and practices </w:t>
            </w:r>
            <w:r>
              <w:rPr>
                <w:sz w:val="20"/>
                <w:szCs w:val="20"/>
              </w:rPr>
              <w:t>relate</w:t>
            </w:r>
            <w:r>
              <w:rPr>
                <w:color w:val="000000"/>
                <w:sz w:val="20"/>
                <w:szCs w:val="20"/>
              </w:rPr>
              <w:t xml:space="preserve"> to NAEYC standards and best practice recommendations. </w:t>
            </w:r>
          </w:p>
          <w:p w:rsidR="003C2DE1" w:rsidRDefault="00F97212" w14:paraId="0000005E" w14:textId="77777777">
            <w:pPr>
              <w:pStyle w:val="Normal0"/>
              <w:numPr>
                <w:ilvl w:val="0"/>
                <w:numId w:val="7"/>
              </w:numPr>
              <w:pBdr>
                <w:top w:val="nil"/>
                <w:left w:val="nil"/>
                <w:bottom w:val="nil"/>
                <w:right w:val="nil"/>
                <w:between w:val="nil"/>
              </w:pBdr>
              <w:rPr>
                <w:color w:val="000000"/>
                <w:sz w:val="20"/>
                <w:szCs w:val="20"/>
              </w:rPr>
            </w:pPr>
            <w:r>
              <w:rPr>
                <w:color w:val="000000"/>
                <w:sz w:val="20"/>
                <w:szCs w:val="20"/>
              </w:rPr>
              <w:t xml:space="preserve">Provide programs within their system with the </w:t>
            </w:r>
            <w:r>
              <w:rPr>
                <w:b/>
                <w:color w:val="000000"/>
                <w:sz w:val="20"/>
                <w:szCs w:val="20"/>
              </w:rPr>
              <w:t>SWPP evidence final report</w:t>
            </w:r>
            <w:r>
              <w:rPr>
                <w:color w:val="000000"/>
                <w:sz w:val="20"/>
                <w:szCs w:val="20"/>
              </w:rPr>
              <w:t xml:space="preserve"> for the on-site visit.</w:t>
            </w:r>
          </w:p>
          <w:p w:rsidR="003C2DE1" w:rsidRDefault="00F97212" w14:paraId="0000005F" w14:textId="77777777">
            <w:pPr>
              <w:pStyle w:val="Normal0"/>
              <w:numPr>
                <w:ilvl w:val="0"/>
                <w:numId w:val="7"/>
              </w:numPr>
              <w:pBdr>
                <w:top w:val="nil"/>
                <w:left w:val="nil"/>
                <w:bottom w:val="nil"/>
                <w:right w:val="nil"/>
                <w:between w:val="nil"/>
              </w:pBdr>
              <w:rPr>
                <w:color w:val="000000"/>
                <w:sz w:val="20"/>
                <w:szCs w:val="20"/>
              </w:rPr>
            </w:pPr>
            <w:r>
              <w:rPr>
                <w:color w:val="000000"/>
                <w:sz w:val="20"/>
                <w:szCs w:val="20"/>
              </w:rPr>
              <w:t xml:space="preserve">Provide programs within their system with a list of items </w:t>
            </w:r>
            <w:r>
              <w:rPr>
                <w:sz w:val="20"/>
                <w:szCs w:val="20"/>
              </w:rPr>
              <w:t>that</w:t>
            </w:r>
            <w:r>
              <w:rPr>
                <w:color w:val="000000"/>
                <w:sz w:val="20"/>
                <w:szCs w:val="20"/>
              </w:rPr>
              <w:t xml:space="preserve"> must be addressed in a program portfolio with </w:t>
            </w:r>
            <w:r>
              <w:rPr>
                <w:sz w:val="20"/>
                <w:szCs w:val="20"/>
              </w:rPr>
              <w:t>program-specific</w:t>
            </w:r>
            <w:r>
              <w:rPr>
                <w:color w:val="000000"/>
                <w:sz w:val="20"/>
                <w:szCs w:val="20"/>
              </w:rPr>
              <w:t xml:space="preserve"> evidence.</w:t>
            </w:r>
          </w:p>
          <w:p w:rsidR="003C2DE1" w:rsidRDefault="00F97212" w14:paraId="00000060" w14:textId="77777777">
            <w:pPr>
              <w:pStyle w:val="Normal0"/>
              <w:numPr>
                <w:ilvl w:val="0"/>
                <w:numId w:val="7"/>
              </w:numPr>
              <w:pBdr>
                <w:top w:val="nil"/>
                <w:left w:val="nil"/>
                <w:bottom w:val="nil"/>
                <w:right w:val="nil"/>
                <w:between w:val="nil"/>
              </w:pBdr>
              <w:rPr>
                <w:color w:val="000000"/>
                <w:sz w:val="20"/>
                <w:szCs w:val="20"/>
              </w:rPr>
            </w:pPr>
            <w:r>
              <w:rPr>
                <w:color w:val="000000"/>
                <w:sz w:val="20"/>
                <w:szCs w:val="20"/>
              </w:rPr>
              <w:t xml:space="preserve">Submit annual SWPP evidence updates and pay an annual fee. </w:t>
            </w:r>
          </w:p>
          <w:p w:rsidR="003C2DE1" w:rsidRDefault="00F97212" w14:paraId="00000061" w14:textId="77777777">
            <w:pPr>
              <w:pStyle w:val="Normal0"/>
              <w:numPr>
                <w:ilvl w:val="0"/>
                <w:numId w:val="7"/>
              </w:numPr>
              <w:pBdr>
                <w:top w:val="nil"/>
                <w:left w:val="nil"/>
                <w:bottom w:val="nil"/>
                <w:right w:val="nil"/>
                <w:between w:val="nil"/>
              </w:pBdr>
              <w:spacing w:after="60"/>
              <w:rPr>
                <w:color w:val="000000"/>
                <w:sz w:val="20"/>
                <w:szCs w:val="20"/>
              </w:rPr>
            </w:pPr>
            <w:r>
              <w:rPr>
                <w:color w:val="000000"/>
                <w:sz w:val="20"/>
                <w:szCs w:val="20"/>
              </w:rPr>
              <w:t>Instruct programs within the system to self-identify to the Assessor that they are part of a system with an approved SWPP.</w:t>
            </w:r>
          </w:p>
        </w:tc>
      </w:tr>
    </w:tbl>
    <w:p w:rsidR="003C2DE1" w:rsidP="50D65163" w:rsidRDefault="003C2DE1" w14:paraId="00000063" w14:textId="77777777">
      <w:pPr>
        <w:pStyle w:val="Normal0"/>
      </w:pPr>
    </w:p>
    <w:tbl>
      <w:tblPr>
        <w:tblW w:w="10920" w:type="dxa"/>
        <w:tblInd w:w="-75" w:type="dxa"/>
        <w:tblLayout w:type="fixed"/>
        <w:tblCellMar>
          <w:top w:w="15" w:type="dxa"/>
          <w:left w:w="15" w:type="dxa"/>
          <w:bottom w:w="15" w:type="dxa"/>
          <w:right w:w="15" w:type="dxa"/>
        </w:tblCellMar>
        <w:tblLook w:val="0400" w:firstRow="0" w:lastRow="0" w:firstColumn="0" w:lastColumn="0" w:noHBand="0" w:noVBand="1"/>
      </w:tblPr>
      <w:tblGrid>
        <w:gridCol w:w="10920"/>
      </w:tblGrid>
      <w:tr w:rsidR="003C2DE1" w:rsidTr="50D65163" w14:paraId="4CCB031D" w14:textId="77777777">
        <w:trPr>
          <w:trHeight w:val="269"/>
        </w:trPr>
        <w:tc>
          <w:tcPr>
            <w:tcW w:w="109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15" w:type="dxa"/>
              <w:bottom w:w="0" w:type="dxa"/>
              <w:right w:w="115" w:type="dxa"/>
            </w:tcMar>
            <w:vAlign w:val="center"/>
          </w:tcPr>
          <w:p w:rsidR="003C2DE1" w:rsidRDefault="00F97212" w14:paraId="00000064" w14:textId="77777777">
            <w:pPr>
              <w:pStyle w:val="Normal0"/>
              <w:spacing w:before="60" w:after="60"/>
              <w:rPr>
                <w:rFonts w:ascii="Times New Roman" w:hAnsi="Times New Roman" w:eastAsia="Times New Roman" w:cs="Times New Roman"/>
                <w:sz w:val="24"/>
                <w:szCs w:val="24"/>
              </w:rPr>
            </w:pPr>
            <w:r>
              <w:rPr>
                <w:rFonts w:ascii="Arial Black" w:hAnsi="Arial Black" w:eastAsia="Arial Black" w:cs="Arial Black"/>
                <w:color w:val="000000"/>
                <w:sz w:val="20"/>
                <w:szCs w:val="20"/>
              </w:rPr>
              <w:t>Signature</w:t>
            </w:r>
          </w:p>
        </w:tc>
      </w:tr>
      <w:tr w:rsidR="003C2DE1" w:rsidTr="50D65163" w14:paraId="16D4D92E" w14:textId="77777777">
        <w:trPr>
          <w:trHeight w:val="2195"/>
        </w:trPr>
        <w:tc>
          <w:tcPr>
            <w:tcW w:w="109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15" w:type="dxa"/>
              <w:bottom w:w="0" w:type="dxa"/>
              <w:right w:w="115" w:type="dxa"/>
            </w:tcMar>
            <w:vAlign w:val="center"/>
          </w:tcPr>
          <w:p w:rsidR="003C2DE1" w:rsidRDefault="00F97212" w14:paraId="00000065" w14:textId="77777777">
            <w:pPr>
              <w:pStyle w:val="Normal0"/>
              <w:spacing w:before="240" w:after="60"/>
              <w:ind w:left="690" w:hanging="540"/>
              <w:rPr>
                <w:rFonts w:ascii="Times New Roman" w:hAnsi="Times New Roman" w:eastAsia="Times New Roman" w:cs="Times New Roman"/>
                <w:sz w:val="20"/>
                <w:szCs w:val="20"/>
              </w:rPr>
            </w:pPr>
            <w:r>
              <w:rPr>
                <w:rFonts w:ascii="Arimo" w:hAnsi="Arimo" w:eastAsia="Arimo" w:cs="Arimo"/>
                <w:color w:val="000000"/>
                <w:sz w:val="32"/>
                <w:szCs w:val="32"/>
              </w:rPr>
              <w:t>☐</w:t>
            </w:r>
            <w:r>
              <w:rPr>
                <w:color w:val="000000"/>
                <w:sz w:val="32"/>
                <w:szCs w:val="32"/>
              </w:rPr>
              <w:t xml:space="preserve"> </w:t>
            </w:r>
            <w:r>
              <w:rPr>
                <w:color w:val="000000"/>
                <w:sz w:val="18"/>
                <w:szCs w:val="18"/>
              </w:rPr>
              <w:tab/>
            </w:r>
            <w:r>
              <w:rPr>
                <w:color w:val="000000"/>
                <w:sz w:val="20"/>
                <w:szCs w:val="20"/>
              </w:rPr>
              <w:t xml:space="preserve">I have read and </w:t>
            </w:r>
            <w:r>
              <w:rPr>
                <w:sz w:val="20"/>
                <w:szCs w:val="20"/>
              </w:rPr>
              <w:t>understood</w:t>
            </w:r>
            <w:r>
              <w:rPr>
                <w:color w:val="000000"/>
                <w:sz w:val="20"/>
                <w:szCs w:val="20"/>
              </w:rPr>
              <w:t xml:space="preserve"> my program’s obligations.</w:t>
            </w:r>
          </w:p>
          <w:p w:rsidR="003C2DE1" w:rsidP="50D65163" w:rsidRDefault="00F97212" w14:paraId="00000067" w14:textId="0492879F">
            <w:pPr>
              <w:pStyle w:val="Normal0"/>
              <w:spacing w:before="60" w:after="60"/>
              <w:ind w:left="690" w:hanging="540"/>
              <w:rPr>
                <w:color w:val="000000" w:themeColor="text1"/>
                <w:sz w:val="20"/>
                <w:szCs w:val="20"/>
              </w:rPr>
            </w:pPr>
            <w:r w:rsidRPr="50D65163">
              <w:rPr>
                <w:rFonts w:ascii="Arimo" w:hAnsi="Arimo" w:eastAsia="Arimo" w:cs="Arimo"/>
                <w:color w:val="000000" w:themeColor="text1"/>
                <w:sz w:val="32"/>
                <w:szCs w:val="32"/>
              </w:rPr>
              <w:t>☐</w:t>
            </w:r>
            <w:r w:rsidRPr="50D65163">
              <w:rPr>
                <w:color w:val="000000" w:themeColor="text1"/>
                <w:sz w:val="32"/>
                <w:szCs w:val="32"/>
              </w:rPr>
              <w:t xml:space="preserve"> </w:t>
            </w:r>
            <w:r>
              <w:tab/>
            </w:r>
            <w:r w:rsidRPr="50D65163">
              <w:rPr>
                <w:color w:val="000000" w:themeColor="text1"/>
                <w:sz w:val="20"/>
                <w:szCs w:val="20"/>
              </w:rPr>
              <w:t xml:space="preserve">I verify that evidence submitted on behalf of my system will accurately reflect our system’s current policies, procedures, and practices. If false or misleading information is provided to NAEYC Early Learning Programs, I understand that my system’s pursuit of </w:t>
            </w:r>
            <w:r w:rsidRPr="50D65163">
              <w:rPr>
                <w:sz w:val="20"/>
                <w:szCs w:val="20"/>
              </w:rPr>
              <w:t>System-Wide</w:t>
            </w:r>
            <w:r w:rsidRPr="50D65163">
              <w:rPr>
                <w:color w:val="000000" w:themeColor="text1"/>
                <w:sz w:val="20"/>
                <w:szCs w:val="20"/>
              </w:rPr>
              <w:t xml:space="preserve"> Program Portfolio review and use will cease, and/or my program’s current use of </w:t>
            </w:r>
            <w:r w:rsidRPr="50D65163">
              <w:rPr>
                <w:sz w:val="20"/>
                <w:szCs w:val="20"/>
              </w:rPr>
              <w:t>System-Wide</w:t>
            </w:r>
            <w:r w:rsidRPr="50D65163">
              <w:rPr>
                <w:color w:val="000000" w:themeColor="text1"/>
                <w:sz w:val="20"/>
                <w:szCs w:val="20"/>
              </w:rPr>
              <w:t xml:space="preserve"> Program Portfolio evidence may be revoked.</w:t>
            </w:r>
          </w:p>
          <w:p w:rsidR="003C2DE1" w:rsidRDefault="00F97212" w14:paraId="00000068" w14:textId="77777777">
            <w:pPr>
              <w:pStyle w:val="Normal0"/>
              <w:tabs>
                <w:tab w:val="left" w:pos="5775"/>
                <w:tab w:val="left" w:pos="6135"/>
                <w:tab w:val="left" w:pos="10260"/>
              </w:tabs>
              <w:spacing w:before="60" w:after="60"/>
              <w:ind w:left="690"/>
              <w:rPr>
                <w:color w:val="000000"/>
                <w:sz w:val="19"/>
                <w:szCs w:val="19"/>
                <w:u w:val="single"/>
              </w:rPr>
            </w:pPr>
            <w:r>
              <w:rPr>
                <w:color w:val="000000"/>
                <w:sz w:val="19"/>
                <w:szCs w:val="19"/>
                <w:u w:val="single"/>
              </w:rPr>
              <w:tab/>
            </w:r>
            <w:r>
              <w:rPr>
                <w:color w:val="000000"/>
                <w:sz w:val="19"/>
                <w:szCs w:val="19"/>
              </w:rPr>
              <w:tab/>
            </w:r>
            <w:r>
              <w:rPr>
                <w:color w:val="000000"/>
                <w:sz w:val="19"/>
                <w:szCs w:val="19"/>
                <w:u w:val="single"/>
              </w:rPr>
              <w:tab/>
            </w:r>
          </w:p>
          <w:p w:rsidR="003C2DE1" w:rsidRDefault="00F97212" w14:paraId="00000069" w14:textId="77777777">
            <w:pPr>
              <w:pStyle w:val="Normal0"/>
              <w:tabs>
                <w:tab w:val="left" w:pos="6105"/>
              </w:tabs>
              <w:spacing w:before="60" w:after="60"/>
              <w:ind w:left="1230" w:hanging="540"/>
              <w:rPr>
                <w:color w:val="000000"/>
                <w:sz w:val="20"/>
                <w:szCs w:val="20"/>
              </w:rPr>
            </w:pPr>
            <w:r>
              <w:rPr>
                <w:i/>
                <w:color w:val="000000"/>
                <w:sz w:val="18"/>
                <w:szCs w:val="18"/>
              </w:rPr>
              <w:t>Print name</w:t>
            </w:r>
            <w:r>
              <w:rPr>
                <w:i/>
                <w:color w:val="000000"/>
                <w:sz w:val="18"/>
                <w:szCs w:val="18"/>
              </w:rPr>
              <w:tab/>
            </w:r>
            <w:r>
              <w:rPr>
                <w:i/>
                <w:color w:val="000000"/>
                <w:sz w:val="18"/>
                <w:szCs w:val="18"/>
              </w:rPr>
              <w:t>Title</w:t>
            </w:r>
          </w:p>
          <w:p w:rsidR="003C2DE1" w:rsidP="50D65163" w:rsidRDefault="003C2DE1" w14:paraId="0000006A" w14:textId="77777777">
            <w:pPr>
              <w:pStyle w:val="Normal0"/>
              <w:spacing w:before="60" w:after="60"/>
              <w:rPr>
                <w:rFonts w:ascii="Times New Roman" w:hAnsi="Times New Roman" w:eastAsia="Times New Roman" w:cs="Times New Roman"/>
                <w:sz w:val="28"/>
                <w:szCs w:val="28"/>
              </w:rPr>
            </w:pPr>
          </w:p>
          <w:p w:rsidR="003C2DE1" w:rsidRDefault="00F97212" w14:paraId="0000006B" w14:textId="77777777">
            <w:pPr>
              <w:pStyle w:val="Normal0"/>
              <w:tabs>
                <w:tab w:val="left" w:pos="5775"/>
                <w:tab w:val="left" w:pos="6135"/>
                <w:tab w:val="left" w:pos="10260"/>
              </w:tabs>
              <w:spacing w:before="60" w:after="60"/>
              <w:ind w:left="690"/>
              <w:rPr>
                <w:color w:val="000000"/>
                <w:sz w:val="19"/>
                <w:szCs w:val="19"/>
                <w:u w:val="single"/>
              </w:rPr>
            </w:pPr>
            <w:r>
              <w:rPr>
                <w:color w:val="000000"/>
                <w:sz w:val="19"/>
                <w:szCs w:val="19"/>
                <w:u w:val="single"/>
              </w:rPr>
              <w:tab/>
            </w:r>
            <w:r>
              <w:rPr>
                <w:color w:val="000000"/>
                <w:sz w:val="19"/>
                <w:szCs w:val="19"/>
              </w:rPr>
              <w:tab/>
            </w:r>
            <w:r>
              <w:rPr>
                <w:color w:val="000000"/>
                <w:sz w:val="19"/>
                <w:szCs w:val="19"/>
                <w:u w:val="single"/>
              </w:rPr>
              <w:tab/>
            </w:r>
          </w:p>
          <w:p w:rsidR="003C2DE1" w:rsidRDefault="00F97212" w14:paraId="0000006C" w14:textId="77777777">
            <w:pPr>
              <w:pStyle w:val="Normal0"/>
              <w:tabs>
                <w:tab w:val="left" w:pos="6090"/>
              </w:tabs>
              <w:spacing w:before="60" w:after="60"/>
              <w:ind w:left="690"/>
              <w:rPr>
                <w:rFonts w:ascii="Times New Roman" w:hAnsi="Times New Roman" w:eastAsia="Times New Roman" w:cs="Times New Roman"/>
                <w:i/>
                <w:sz w:val="18"/>
                <w:szCs w:val="18"/>
              </w:rPr>
            </w:pPr>
            <w:r>
              <w:rPr>
                <w:i/>
                <w:color w:val="000000"/>
                <w:sz w:val="18"/>
                <w:szCs w:val="18"/>
              </w:rPr>
              <w:t>Signature</w:t>
            </w:r>
            <w:r>
              <w:rPr>
                <w:i/>
                <w:color w:val="000000"/>
                <w:sz w:val="18"/>
                <w:szCs w:val="18"/>
              </w:rPr>
              <w:tab/>
            </w:r>
            <w:r>
              <w:rPr>
                <w:i/>
                <w:color w:val="000000"/>
                <w:sz w:val="18"/>
                <w:szCs w:val="18"/>
              </w:rPr>
              <w:t>Date</w:t>
            </w:r>
          </w:p>
        </w:tc>
      </w:tr>
    </w:tbl>
    <w:p w:rsidR="003C2DE1" w:rsidRDefault="003C2DE1" w14:paraId="0000006D" w14:textId="77777777">
      <w:pPr>
        <w:pStyle w:val="Normal0"/>
        <w:rPr>
          <w:rFonts w:ascii="Times New Roman" w:hAnsi="Times New Roman" w:eastAsia="Times New Roman" w:cs="Times New Roman"/>
          <w:sz w:val="20"/>
          <w:szCs w:val="20"/>
        </w:rPr>
      </w:pPr>
    </w:p>
    <w:sectPr w:rsidR="003C2DE1">
      <w:headerReference w:type="default" r:id="rId16"/>
      <w:footerReference w:type="default" r:id="rId17"/>
      <w:pgSz w:w="12240" w:h="15840" w:orient="portrait"/>
      <w:pgMar w:top="1440" w:right="720" w:bottom="1152" w:left="72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H" w:author="Kim Hodge" w:date="2024-05-16T12:27:00Z" w:id="0">
    <w:p w:rsidR="7A1ECCC0" w:rsidRDefault="7A1ECCC0" w14:paraId="7BBB8B9B" w14:textId="55B05848">
      <w:pPr>
        <w:pStyle w:val="CommentText"/>
      </w:pPr>
      <w:r>
        <w:rPr>
          <w:color w:val="2B579A"/>
          <w:shd w:val="clear" w:color="auto" w:fill="E6E6E6"/>
        </w:rPr>
        <w:fldChar w:fldCharType="begin"/>
      </w:r>
      <w:r>
        <w:instrText xml:space="preserve"> HYPERLINK "mailto:lkerner@naeyc.org"</w:instrText>
      </w:r>
      <w:r>
        <w:rPr>
          <w:color w:val="2B579A"/>
          <w:shd w:val="clear" w:color="auto" w:fill="E6E6E6"/>
        </w:rPr>
      </w:r>
      <w:bookmarkStart w:name="_@_34B70F4A5EA24B7F967277EB48E3DF35Z" w:id="3"/>
      <w:r>
        <w:rPr>
          <w:color w:val="2B579A"/>
          <w:shd w:val="clear" w:color="auto" w:fill="E6E6E6"/>
        </w:rPr>
        <w:fldChar w:fldCharType="separate"/>
      </w:r>
      <w:bookmarkEnd w:id="3"/>
      <w:r w:rsidRPr="7A1ECCC0">
        <w:rPr>
          <w:rStyle w:val="Mention"/>
          <w:noProof/>
        </w:rPr>
        <w:t>@Leslie Kerner</w:t>
      </w:r>
      <w:r>
        <w:rPr>
          <w:color w:val="2B579A"/>
          <w:shd w:val="clear" w:color="auto" w:fill="E6E6E6"/>
        </w:rPr>
        <w:fldChar w:fldCharType="end"/>
      </w:r>
      <w:r>
        <w:t xml:space="preserve">  Please review and edit as you see fit! Recommended addition: "All information and evidence within the SWPP will remain confidential and only shared internally to support the assessment process. NAEYC will not share contents of any SWPP without the approval and signature of program leadership."</w:t>
      </w:r>
      <w:r>
        <w:rPr>
          <w:rStyle w:val="CommentReference"/>
        </w:rPr>
        <w:annotationRef/>
      </w:r>
    </w:p>
  </w:comment>
  <w:comment w:initials="LK" w:author="Leslie Kerner" w:date="2024-05-17T09:48:00Z" w:id="1">
    <w:p w:rsidR="7CD1231A" w:rsidRDefault="7CD1231A" w14:paraId="6FB0CC7D" w14:textId="7BA9F451">
      <w:pPr>
        <w:pStyle w:val="CommentText"/>
      </w:pPr>
      <w:r>
        <w:t xml:space="preserve">Looks perfect to me!  </w:t>
      </w:r>
      <w:r>
        <w:rPr>
          <w:rStyle w:val="CommentReference"/>
        </w:rPr>
        <w:annotationRef/>
      </w:r>
    </w:p>
  </w:comment>
  <w:comment w:initials="KH" w:author="Kim Hodge" w:date="2024-05-30T16:06:00Z" w:id="2">
    <w:p w:rsidR="00532577" w:rsidP="00532577" w:rsidRDefault="00532577" w14:paraId="6FB9BCF7" w14:textId="60D29A26">
      <w:pPr>
        <w:pStyle w:val="CommentText"/>
      </w:pPr>
      <w:r>
        <w:rPr>
          <w:rStyle w:val="CommentReference"/>
        </w:rPr>
        <w:annotationRef/>
      </w:r>
      <w:r>
        <w:fldChar w:fldCharType="begin"/>
      </w:r>
      <w:r>
        <w:instrText>HYPERLINK "mailto:lkerner@naeyc.org"</w:instrText>
      </w:r>
      <w:bookmarkStart w:name="_@_EB86CB4FE8D845608711018A62675249Z" w:id="4"/>
      <w:r>
        <w:fldChar w:fldCharType="separate"/>
      </w:r>
      <w:bookmarkEnd w:id="4"/>
      <w:r w:rsidRPr="00532577">
        <w:rPr>
          <w:rStyle w:val="Mention"/>
          <w:noProof/>
        </w:rPr>
        <w:t>@Leslie Kerner</w:t>
      </w:r>
      <w:r>
        <w:fldChar w:fldCharType="end"/>
      </w:r>
      <w:r>
        <w:t xml:space="preserve">  I’ve added the updated text to the bottom of the section. Alissa reviewed and approved, and said we are good to move this version forward. Do you own this file/ or know where we have the original source file for the team?</w:t>
      </w:r>
    </w:p>
  </w:comment>
</w:comments>
</file>

<file path=word/commentsExtended.xml><?xml version="1.0" encoding="utf-8"?>
<w15:commentsEx xmlns:mc="http://schemas.openxmlformats.org/markup-compatibility/2006" xmlns:w15="http://schemas.microsoft.com/office/word/2012/wordml" mc:Ignorable="w15">
  <w15:commentEx w15:done="1" w15:paraId="7BBB8B9B"/>
  <w15:commentEx w15:done="1" w15:paraId="6FB0CC7D" w15:paraIdParent="7BBB8B9B"/>
  <w15:commentEx w15:done="1" w15:paraId="6FB9BCF7" w15:paraIdParent="7BBB8B9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2CB40F" w16cex:dateUtc="2024-05-16T16:27:00Z"/>
  <w16cex:commentExtensible w16cex:durableId="3CF7A680" w16cex:dateUtc="2024-05-17T14:48:00Z"/>
  <w16cex:commentExtensible w16cex:durableId="15F76A9C" w16cex:dateUtc="2024-05-30T20:06:00Z"/>
</w16cex:commentsExtensible>
</file>

<file path=word/commentsIds.xml><?xml version="1.0" encoding="utf-8"?>
<w16cid:commentsIds xmlns:mc="http://schemas.openxmlformats.org/markup-compatibility/2006" xmlns:w16cid="http://schemas.microsoft.com/office/word/2016/wordml/cid" mc:Ignorable="w16cid">
  <w16cid:commentId w16cid:paraId="7BBB8B9B" w16cid:durableId="342CB40F"/>
  <w16cid:commentId w16cid:paraId="6FB0CC7D" w16cid:durableId="3CF7A680"/>
  <w16cid:commentId w16cid:paraId="6FB9BCF7" w16cid:durableId="15F76A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212" w:rsidRDefault="00F97212" w14:paraId="77BE1D47" w14:textId="77777777">
      <w:r>
        <w:separator/>
      </w:r>
    </w:p>
  </w:endnote>
  <w:endnote w:type="continuationSeparator" w:id="0">
    <w:p w:rsidR="00F97212" w:rsidRDefault="00F97212" w14:paraId="475E22C7" w14:textId="77777777">
      <w:r>
        <w:continuationSeparator/>
      </w:r>
    </w:p>
  </w:endnote>
  <w:endnote w:type="continuationNotice" w:id="1">
    <w:p w:rsidR="00591EFB" w:rsidRDefault="00591EFB" w14:paraId="57C54D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00"/>
    <w:family w:val="roman"/>
    <w:notTrueType/>
    <w:pitch w:val="default"/>
  </w:font>
  <w:font w:name="Graphik-Regular">
    <w:panose1 w:val="00000000000000000000"/>
    <w:charset w:val="00"/>
    <w:family w:val="roman"/>
    <w:notTrueType/>
    <w:pitch w:val="default"/>
  </w:font>
  <w:font w:name="Graphik-Semi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mo">
    <w:altName w:val="Calibri"/>
    <w:charset w:val="00"/>
    <w:family w:val="auto"/>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DE1" w:rsidP="053B01C9" w:rsidRDefault="00F97212" w14:paraId="0000006F" w14:textId="2634FC30">
    <w:pPr>
      <w:pStyle w:val="Normal0"/>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rFonts w:ascii="Times New Roman" w:hAnsi="Times New Roman" w:eastAsia="Times New Roman" w:cs="Times New Roman"/>
        <w:sz w:val="20"/>
        <w:szCs w:val="20"/>
      </w:rPr>
    </w:pPr>
    <w:r w:rsidRPr="053B01C9" w:rsidR="053B01C9">
      <w:rPr>
        <w:color w:val="000000" w:themeColor="text1" w:themeTint="FF" w:themeShade="FF"/>
        <w:sz w:val="18"/>
        <w:szCs w:val="18"/>
      </w:rPr>
      <w:t>System-wide Program Portfolio Initial Application_V20</w:t>
    </w:r>
    <w:r w:rsidRPr="053B01C9" w:rsidR="053B01C9">
      <w:rPr>
        <w:sz w:val="18"/>
        <w:szCs w:val="18"/>
      </w:rPr>
      <w:t>2</w:t>
    </w:r>
    <w:r w:rsidRPr="053B01C9" w:rsidR="053B01C9">
      <w:rPr>
        <w:sz w:val="18"/>
        <w:szCs w:val="18"/>
      </w:rPr>
      <w:t>4</w:t>
    </w:r>
  </w:p>
  <w:p w:rsidR="003C2DE1" w:rsidRDefault="003C2DE1" w14:paraId="00000070" w14:textId="77777777">
    <w:pPr>
      <w:pStyle w:val="Normal0"/>
      <w:pBdr>
        <w:top w:val="nil"/>
        <w:left w:val="nil"/>
        <w:bottom w:val="nil"/>
        <w:right w:val="nil"/>
        <w:between w:val="nil"/>
      </w:pBdr>
      <w:tabs>
        <w:tab w:val="center" w:pos="4680"/>
        <w:tab w:val="right" w:pos="9360"/>
      </w:tabs>
      <w:rPr>
        <w:sz w:val="18"/>
        <w:szCs w:val="18"/>
      </w:rPr>
    </w:pPr>
  </w:p>
  <w:p w:rsidR="003C2DE1" w:rsidRDefault="003C2DE1" w14:paraId="00000071" w14:textId="77777777">
    <w:pPr>
      <w:pStyle w:val="Normal0"/>
      <w:pBdr>
        <w:top w:val="nil"/>
        <w:left w:val="nil"/>
        <w:bottom w:val="nil"/>
        <w:right w:val="nil"/>
        <w:between w:val="nil"/>
      </w:pBdr>
      <w:tabs>
        <w:tab w:val="center" w:pos="4680"/>
        <w:tab w:val="right" w:pos="9360"/>
      </w:tabs>
      <w:ind w:left="-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212" w:rsidRDefault="00F97212" w14:paraId="303DA499" w14:textId="77777777">
      <w:r>
        <w:separator/>
      </w:r>
    </w:p>
  </w:footnote>
  <w:footnote w:type="continuationSeparator" w:id="0">
    <w:p w:rsidR="00F97212" w:rsidRDefault="00F97212" w14:paraId="49A2BB54" w14:textId="77777777">
      <w:r>
        <w:continuationSeparator/>
      </w:r>
    </w:p>
  </w:footnote>
  <w:footnote w:type="continuationNotice" w:id="1">
    <w:p w:rsidR="00591EFB" w:rsidRDefault="00591EFB" w14:paraId="79A9BD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C2DE1" w:rsidRDefault="00F97212" w14:paraId="0000006E" w14:textId="77777777">
    <w:pPr>
      <w:pStyle w:val="Normal0"/>
      <w:pBdr>
        <w:top w:val="nil"/>
        <w:left w:val="nil"/>
        <w:bottom w:val="nil"/>
        <w:right w:val="nil"/>
        <w:between w:val="nil"/>
      </w:pBdr>
      <w:tabs>
        <w:tab w:val="center" w:pos="4680"/>
        <w:tab w:val="right" w:pos="9360"/>
      </w:tabs>
      <w:ind w:left="-720"/>
      <w:rPr>
        <w:color w:val="000000"/>
      </w:rPr>
    </w:pPr>
    <w:r>
      <w:rPr>
        <w:noProof/>
        <w:color w:val="000000"/>
        <w:shd w:val="clear" w:color="auto" w:fill="E6E6E6"/>
      </w:rPr>
      <w:drawing>
        <wp:inline distT="0" distB="0" distL="0" distR="0" wp14:anchorId="2507AF52" wp14:editId="07777777">
          <wp:extent cx="7764097" cy="1333598"/>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4097" cy="13335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7C63"/>
    <w:multiLevelType w:val="hybridMultilevel"/>
    <w:tmpl w:val="FFFFFFFF"/>
    <w:lvl w:ilvl="0" w:tplc="D5B03BB0">
      <w:start w:val="1"/>
      <w:numFmt w:val="bullet"/>
      <w:lvlText w:val=""/>
      <w:lvlJc w:val="left"/>
      <w:pPr>
        <w:ind w:left="720" w:hanging="360"/>
      </w:pPr>
      <w:rPr>
        <w:rFonts w:hint="default" w:ascii="Symbol" w:hAnsi="Symbol"/>
      </w:rPr>
    </w:lvl>
    <w:lvl w:ilvl="1" w:tplc="41B2DA1C">
      <w:start w:val="1"/>
      <w:numFmt w:val="bullet"/>
      <w:lvlText w:val="o"/>
      <w:lvlJc w:val="left"/>
      <w:pPr>
        <w:ind w:left="1440" w:hanging="360"/>
      </w:pPr>
      <w:rPr>
        <w:rFonts w:hint="default" w:ascii="Courier New" w:hAnsi="Courier New"/>
      </w:rPr>
    </w:lvl>
    <w:lvl w:ilvl="2" w:tplc="1CE8576E">
      <w:start w:val="1"/>
      <w:numFmt w:val="bullet"/>
      <w:lvlText w:val=""/>
      <w:lvlJc w:val="left"/>
      <w:pPr>
        <w:ind w:left="2160" w:hanging="360"/>
      </w:pPr>
      <w:rPr>
        <w:rFonts w:hint="default" w:ascii="Wingdings" w:hAnsi="Wingdings"/>
      </w:rPr>
    </w:lvl>
    <w:lvl w:ilvl="3" w:tplc="7E527C10">
      <w:start w:val="1"/>
      <w:numFmt w:val="bullet"/>
      <w:lvlText w:val=""/>
      <w:lvlJc w:val="left"/>
      <w:pPr>
        <w:ind w:left="2880" w:hanging="360"/>
      </w:pPr>
      <w:rPr>
        <w:rFonts w:hint="default" w:ascii="Symbol" w:hAnsi="Symbol"/>
      </w:rPr>
    </w:lvl>
    <w:lvl w:ilvl="4" w:tplc="D7601362">
      <w:start w:val="1"/>
      <w:numFmt w:val="bullet"/>
      <w:lvlText w:val="o"/>
      <w:lvlJc w:val="left"/>
      <w:pPr>
        <w:ind w:left="3600" w:hanging="360"/>
      </w:pPr>
      <w:rPr>
        <w:rFonts w:hint="default" w:ascii="Courier New" w:hAnsi="Courier New"/>
      </w:rPr>
    </w:lvl>
    <w:lvl w:ilvl="5" w:tplc="ECECC57A">
      <w:start w:val="1"/>
      <w:numFmt w:val="bullet"/>
      <w:lvlText w:val=""/>
      <w:lvlJc w:val="left"/>
      <w:pPr>
        <w:ind w:left="4320" w:hanging="360"/>
      </w:pPr>
      <w:rPr>
        <w:rFonts w:hint="default" w:ascii="Wingdings" w:hAnsi="Wingdings"/>
      </w:rPr>
    </w:lvl>
    <w:lvl w:ilvl="6" w:tplc="59347F82">
      <w:start w:val="1"/>
      <w:numFmt w:val="bullet"/>
      <w:lvlText w:val=""/>
      <w:lvlJc w:val="left"/>
      <w:pPr>
        <w:ind w:left="5040" w:hanging="360"/>
      </w:pPr>
      <w:rPr>
        <w:rFonts w:hint="default" w:ascii="Symbol" w:hAnsi="Symbol"/>
      </w:rPr>
    </w:lvl>
    <w:lvl w:ilvl="7" w:tplc="17C652A0">
      <w:start w:val="1"/>
      <w:numFmt w:val="bullet"/>
      <w:lvlText w:val="o"/>
      <w:lvlJc w:val="left"/>
      <w:pPr>
        <w:ind w:left="5760" w:hanging="360"/>
      </w:pPr>
      <w:rPr>
        <w:rFonts w:hint="default" w:ascii="Courier New" w:hAnsi="Courier New"/>
      </w:rPr>
    </w:lvl>
    <w:lvl w:ilvl="8" w:tplc="3C2A687A">
      <w:start w:val="1"/>
      <w:numFmt w:val="bullet"/>
      <w:lvlText w:val=""/>
      <w:lvlJc w:val="left"/>
      <w:pPr>
        <w:ind w:left="6480" w:hanging="360"/>
      </w:pPr>
      <w:rPr>
        <w:rFonts w:hint="default" w:ascii="Wingdings" w:hAnsi="Wingdings"/>
      </w:rPr>
    </w:lvl>
  </w:abstractNum>
  <w:abstractNum w:abstractNumId="1" w15:restartNumberingAfterBreak="0">
    <w:nsid w:val="09392A60"/>
    <w:multiLevelType w:val="hybridMultilevel"/>
    <w:tmpl w:val="FFFFFFFF"/>
    <w:lvl w:ilvl="0" w:tplc="AA76251E">
      <w:start w:val="1"/>
      <w:numFmt w:val="bullet"/>
      <w:lvlText w:val=""/>
      <w:lvlJc w:val="left"/>
      <w:pPr>
        <w:ind w:left="720" w:hanging="360"/>
      </w:pPr>
      <w:rPr>
        <w:rFonts w:hint="default" w:ascii="Symbol" w:hAnsi="Symbol"/>
      </w:rPr>
    </w:lvl>
    <w:lvl w:ilvl="1" w:tplc="46B04C9C">
      <w:start w:val="1"/>
      <w:numFmt w:val="bullet"/>
      <w:lvlText w:val=""/>
      <w:lvlJc w:val="left"/>
      <w:pPr>
        <w:ind w:left="1440" w:hanging="360"/>
      </w:pPr>
      <w:rPr>
        <w:rFonts w:hint="default" w:ascii="Symbol" w:hAnsi="Symbol"/>
      </w:rPr>
    </w:lvl>
    <w:lvl w:ilvl="2" w:tplc="6F72E980">
      <w:start w:val="1"/>
      <w:numFmt w:val="bullet"/>
      <w:lvlText w:val=""/>
      <w:lvlJc w:val="left"/>
      <w:pPr>
        <w:ind w:left="2160" w:hanging="360"/>
      </w:pPr>
      <w:rPr>
        <w:rFonts w:hint="default" w:ascii="Wingdings" w:hAnsi="Wingdings"/>
      </w:rPr>
    </w:lvl>
    <w:lvl w:ilvl="3" w:tplc="541E8C1E">
      <w:start w:val="1"/>
      <w:numFmt w:val="bullet"/>
      <w:lvlText w:val=""/>
      <w:lvlJc w:val="left"/>
      <w:pPr>
        <w:ind w:left="2880" w:hanging="360"/>
      </w:pPr>
      <w:rPr>
        <w:rFonts w:hint="default" w:ascii="Symbol" w:hAnsi="Symbol"/>
      </w:rPr>
    </w:lvl>
    <w:lvl w:ilvl="4" w:tplc="E372071A">
      <w:start w:val="1"/>
      <w:numFmt w:val="bullet"/>
      <w:lvlText w:val="o"/>
      <w:lvlJc w:val="left"/>
      <w:pPr>
        <w:ind w:left="3600" w:hanging="360"/>
      </w:pPr>
      <w:rPr>
        <w:rFonts w:hint="default" w:ascii="Courier New" w:hAnsi="Courier New"/>
      </w:rPr>
    </w:lvl>
    <w:lvl w:ilvl="5" w:tplc="BAFAA99A">
      <w:start w:val="1"/>
      <w:numFmt w:val="bullet"/>
      <w:lvlText w:val=""/>
      <w:lvlJc w:val="left"/>
      <w:pPr>
        <w:ind w:left="4320" w:hanging="360"/>
      </w:pPr>
      <w:rPr>
        <w:rFonts w:hint="default" w:ascii="Wingdings" w:hAnsi="Wingdings"/>
      </w:rPr>
    </w:lvl>
    <w:lvl w:ilvl="6" w:tplc="FAA0679C">
      <w:start w:val="1"/>
      <w:numFmt w:val="bullet"/>
      <w:lvlText w:val=""/>
      <w:lvlJc w:val="left"/>
      <w:pPr>
        <w:ind w:left="5040" w:hanging="360"/>
      </w:pPr>
      <w:rPr>
        <w:rFonts w:hint="default" w:ascii="Symbol" w:hAnsi="Symbol"/>
      </w:rPr>
    </w:lvl>
    <w:lvl w:ilvl="7" w:tplc="5296D50E">
      <w:start w:val="1"/>
      <w:numFmt w:val="bullet"/>
      <w:lvlText w:val="o"/>
      <w:lvlJc w:val="left"/>
      <w:pPr>
        <w:ind w:left="5760" w:hanging="360"/>
      </w:pPr>
      <w:rPr>
        <w:rFonts w:hint="default" w:ascii="Courier New" w:hAnsi="Courier New"/>
      </w:rPr>
    </w:lvl>
    <w:lvl w:ilvl="8" w:tplc="1A3AA9EC">
      <w:start w:val="1"/>
      <w:numFmt w:val="bullet"/>
      <w:lvlText w:val=""/>
      <w:lvlJc w:val="left"/>
      <w:pPr>
        <w:ind w:left="6480" w:hanging="360"/>
      </w:pPr>
      <w:rPr>
        <w:rFonts w:hint="default" w:ascii="Wingdings" w:hAnsi="Wingdings"/>
      </w:rPr>
    </w:lvl>
  </w:abstractNum>
  <w:abstractNum w:abstractNumId="2" w15:restartNumberingAfterBreak="0">
    <w:nsid w:val="307EBB1E"/>
    <w:multiLevelType w:val="hybridMultilevel"/>
    <w:tmpl w:val="FFFFFFFF"/>
    <w:lvl w:ilvl="0" w:tplc="DC262E72">
      <w:start w:val="1"/>
      <w:numFmt w:val="bullet"/>
      <w:lvlText w:val=""/>
      <w:lvlJc w:val="left"/>
      <w:pPr>
        <w:ind w:left="720" w:hanging="360"/>
      </w:pPr>
      <w:rPr>
        <w:rFonts w:hint="default" w:ascii="Symbol" w:hAnsi="Symbol"/>
      </w:rPr>
    </w:lvl>
    <w:lvl w:ilvl="1" w:tplc="51D83AD4">
      <w:start w:val="1"/>
      <w:numFmt w:val="bullet"/>
      <w:lvlText w:val=""/>
      <w:lvlJc w:val="left"/>
      <w:pPr>
        <w:ind w:left="1440" w:hanging="360"/>
      </w:pPr>
      <w:rPr>
        <w:rFonts w:hint="default" w:ascii="Symbol" w:hAnsi="Symbol"/>
      </w:rPr>
    </w:lvl>
    <w:lvl w:ilvl="2" w:tplc="3E4AEAEA">
      <w:start w:val="1"/>
      <w:numFmt w:val="bullet"/>
      <w:lvlText w:val=""/>
      <w:lvlJc w:val="left"/>
      <w:pPr>
        <w:ind w:left="2160" w:hanging="360"/>
      </w:pPr>
      <w:rPr>
        <w:rFonts w:hint="default" w:ascii="Wingdings" w:hAnsi="Wingdings"/>
      </w:rPr>
    </w:lvl>
    <w:lvl w:ilvl="3" w:tplc="B546B446">
      <w:start w:val="1"/>
      <w:numFmt w:val="bullet"/>
      <w:lvlText w:val=""/>
      <w:lvlJc w:val="left"/>
      <w:pPr>
        <w:ind w:left="2880" w:hanging="360"/>
      </w:pPr>
      <w:rPr>
        <w:rFonts w:hint="default" w:ascii="Symbol" w:hAnsi="Symbol"/>
      </w:rPr>
    </w:lvl>
    <w:lvl w:ilvl="4" w:tplc="7944A9EE">
      <w:start w:val="1"/>
      <w:numFmt w:val="bullet"/>
      <w:lvlText w:val="o"/>
      <w:lvlJc w:val="left"/>
      <w:pPr>
        <w:ind w:left="3600" w:hanging="360"/>
      </w:pPr>
      <w:rPr>
        <w:rFonts w:hint="default" w:ascii="Courier New" w:hAnsi="Courier New"/>
      </w:rPr>
    </w:lvl>
    <w:lvl w:ilvl="5" w:tplc="A7AC03D8">
      <w:start w:val="1"/>
      <w:numFmt w:val="bullet"/>
      <w:lvlText w:val=""/>
      <w:lvlJc w:val="left"/>
      <w:pPr>
        <w:ind w:left="4320" w:hanging="360"/>
      </w:pPr>
      <w:rPr>
        <w:rFonts w:hint="default" w:ascii="Wingdings" w:hAnsi="Wingdings"/>
      </w:rPr>
    </w:lvl>
    <w:lvl w:ilvl="6" w:tplc="EDCAFB9E">
      <w:start w:val="1"/>
      <w:numFmt w:val="bullet"/>
      <w:lvlText w:val=""/>
      <w:lvlJc w:val="left"/>
      <w:pPr>
        <w:ind w:left="5040" w:hanging="360"/>
      </w:pPr>
      <w:rPr>
        <w:rFonts w:hint="default" w:ascii="Symbol" w:hAnsi="Symbol"/>
      </w:rPr>
    </w:lvl>
    <w:lvl w:ilvl="7" w:tplc="A2D66268">
      <w:start w:val="1"/>
      <w:numFmt w:val="bullet"/>
      <w:lvlText w:val="o"/>
      <w:lvlJc w:val="left"/>
      <w:pPr>
        <w:ind w:left="5760" w:hanging="360"/>
      </w:pPr>
      <w:rPr>
        <w:rFonts w:hint="default" w:ascii="Courier New" w:hAnsi="Courier New"/>
      </w:rPr>
    </w:lvl>
    <w:lvl w:ilvl="8" w:tplc="AAB6ACA0">
      <w:start w:val="1"/>
      <w:numFmt w:val="bullet"/>
      <w:lvlText w:val=""/>
      <w:lvlJc w:val="left"/>
      <w:pPr>
        <w:ind w:left="6480" w:hanging="360"/>
      </w:pPr>
      <w:rPr>
        <w:rFonts w:hint="default" w:ascii="Wingdings" w:hAnsi="Wingdings"/>
      </w:rPr>
    </w:lvl>
  </w:abstractNum>
  <w:abstractNum w:abstractNumId="3" w15:restartNumberingAfterBreak="0">
    <w:nsid w:val="32D9C273"/>
    <w:multiLevelType w:val="multilevel"/>
    <w:tmpl w:val="FFFFFFFF"/>
    <w:lvl w:ilvl="0">
      <w:start w:val="1"/>
      <w:numFmt w:val="bullet"/>
      <w:lvlText w:val="●"/>
      <w:lvlJc w:val="left"/>
      <w:pPr>
        <w:ind w:left="1057" w:hanging="360"/>
      </w:pPr>
      <w:rPr>
        <w:rFonts w:ascii="Noto Sans Symbols" w:hAnsi="Noto Sans Symbols" w:eastAsia="Noto Sans Symbols" w:cs="Noto Sans Symbols"/>
      </w:rPr>
    </w:lvl>
    <w:lvl w:ilvl="1">
      <w:start w:val="1"/>
      <w:numFmt w:val="bullet"/>
      <w:lvlText w:val="●"/>
      <w:lvlJc w:val="left"/>
      <w:pPr>
        <w:ind w:left="1777" w:hanging="360"/>
      </w:pPr>
      <w:rPr>
        <w:rFonts w:ascii="Noto Sans Symbols" w:hAnsi="Noto Sans Symbols" w:eastAsia="Noto Sans Symbols" w:cs="Noto Sans Symbols"/>
      </w:r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4" w15:restartNumberingAfterBreak="0">
    <w:nsid w:val="516F5431"/>
    <w:multiLevelType w:val="hybridMultilevel"/>
    <w:tmpl w:val="FFFFFFFF"/>
    <w:lvl w:ilvl="0" w:tplc="DBEA637E">
      <w:start w:val="1"/>
      <w:numFmt w:val="bullet"/>
      <w:lvlText w:val=""/>
      <w:lvlJc w:val="left"/>
      <w:pPr>
        <w:ind w:left="720" w:hanging="360"/>
      </w:pPr>
      <w:rPr>
        <w:rFonts w:hint="default" w:ascii="Symbol" w:hAnsi="Symbol"/>
      </w:rPr>
    </w:lvl>
    <w:lvl w:ilvl="1" w:tplc="75A25B1A">
      <w:start w:val="1"/>
      <w:numFmt w:val="bullet"/>
      <w:lvlText w:val=""/>
      <w:lvlJc w:val="left"/>
      <w:pPr>
        <w:ind w:left="1440" w:hanging="360"/>
      </w:pPr>
      <w:rPr>
        <w:rFonts w:hint="default" w:ascii="Symbol" w:hAnsi="Symbol"/>
      </w:rPr>
    </w:lvl>
    <w:lvl w:ilvl="2" w:tplc="8A845C6A">
      <w:start w:val="1"/>
      <w:numFmt w:val="bullet"/>
      <w:lvlText w:val=""/>
      <w:lvlJc w:val="left"/>
      <w:pPr>
        <w:ind w:left="2160" w:hanging="360"/>
      </w:pPr>
      <w:rPr>
        <w:rFonts w:hint="default" w:ascii="Wingdings" w:hAnsi="Wingdings"/>
      </w:rPr>
    </w:lvl>
    <w:lvl w:ilvl="3" w:tplc="B4D28E2A">
      <w:start w:val="1"/>
      <w:numFmt w:val="bullet"/>
      <w:lvlText w:val=""/>
      <w:lvlJc w:val="left"/>
      <w:pPr>
        <w:ind w:left="2880" w:hanging="360"/>
      </w:pPr>
      <w:rPr>
        <w:rFonts w:hint="default" w:ascii="Symbol" w:hAnsi="Symbol"/>
      </w:rPr>
    </w:lvl>
    <w:lvl w:ilvl="4" w:tplc="611CE928">
      <w:start w:val="1"/>
      <w:numFmt w:val="bullet"/>
      <w:lvlText w:val="o"/>
      <w:lvlJc w:val="left"/>
      <w:pPr>
        <w:ind w:left="3600" w:hanging="360"/>
      </w:pPr>
      <w:rPr>
        <w:rFonts w:hint="default" w:ascii="Courier New" w:hAnsi="Courier New"/>
      </w:rPr>
    </w:lvl>
    <w:lvl w:ilvl="5" w:tplc="5B461A9E">
      <w:start w:val="1"/>
      <w:numFmt w:val="bullet"/>
      <w:lvlText w:val=""/>
      <w:lvlJc w:val="left"/>
      <w:pPr>
        <w:ind w:left="4320" w:hanging="360"/>
      </w:pPr>
      <w:rPr>
        <w:rFonts w:hint="default" w:ascii="Wingdings" w:hAnsi="Wingdings"/>
      </w:rPr>
    </w:lvl>
    <w:lvl w:ilvl="6" w:tplc="66042226">
      <w:start w:val="1"/>
      <w:numFmt w:val="bullet"/>
      <w:lvlText w:val=""/>
      <w:lvlJc w:val="left"/>
      <w:pPr>
        <w:ind w:left="5040" w:hanging="360"/>
      </w:pPr>
      <w:rPr>
        <w:rFonts w:hint="default" w:ascii="Symbol" w:hAnsi="Symbol"/>
      </w:rPr>
    </w:lvl>
    <w:lvl w:ilvl="7" w:tplc="5088F7AA">
      <w:start w:val="1"/>
      <w:numFmt w:val="bullet"/>
      <w:lvlText w:val="o"/>
      <w:lvlJc w:val="left"/>
      <w:pPr>
        <w:ind w:left="5760" w:hanging="360"/>
      </w:pPr>
      <w:rPr>
        <w:rFonts w:hint="default" w:ascii="Courier New" w:hAnsi="Courier New"/>
      </w:rPr>
    </w:lvl>
    <w:lvl w:ilvl="8" w:tplc="D4100270">
      <w:start w:val="1"/>
      <w:numFmt w:val="bullet"/>
      <w:lvlText w:val=""/>
      <w:lvlJc w:val="left"/>
      <w:pPr>
        <w:ind w:left="6480" w:hanging="360"/>
      </w:pPr>
      <w:rPr>
        <w:rFonts w:hint="default" w:ascii="Wingdings" w:hAnsi="Wingdings"/>
      </w:rPr>
    </w:lvl>
  </w:abstractNum>
  <w:abstractNum w:abstractNumId="5" w15:restartNumberingAfterBreak="0">
    <w:nsid w:val="5B80DE23"/>
    <w:multiLevelType w:val="multilevel"/>
    <w:tmpl w:val="FFFFFFFF"/>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B116B9"/>
    <w:multiLevelType w:val="hybridMultilevel"/>
    <w:tmpl w:val="FFFFFFFF"/>
    <w:lvl w:ilvl="0" w:tplc="6F903F12">
      <w:start w:val="1"/>
      <w:numFmt w:val="bullet"/>
      <w:lvlText w:val=""/>
      <w:lvlJc w:val="left"/>
      <w:pPr>
        <w:ind w:left="720" w:hanging="360"/>
      </w:pPr>
      <w:rPr>
        <w:rFonts w:hint="default" w:ascii="Symbol" w:hAnsi="Symbol"/>
      </w:rPr>
    </w:lvl>
    <w:lvl w:ilvl="1" w:tplc="F4389D5A">
      <w:start w:val="1"/>
      <w:numFmt w:val="bullet"/>
      <w:lvlText w:val=""/>
      <w:lvlJc w:val="left"/>
      <w:pPr>
        <w:ind w:left="1440" w:hanging="360"/>
      </w:pPr>
      <w:rPr>
        <w:rFonts w:hint="default" w:ascii="Symbol" w:hAnsi="Symbol"/>
      </w:rPr>
    </w:lvl>
    <w:lvl w:ilvl="2" w:tplc="0178B74E">
      <w:start w:val="1"/>
      <w:numFmt w:val="bullet"/>
      <w:lvlText w:val=""/>
      <w:lvlJc w:val="left"/>
      <w:pPr>
        <w:ind w:left="2160" w:hanging="360"/>
      </w:pPr>
      <w:rPr>
        <w:rFonts w:hint="default" w:ascii="Wingdings" w:hAnsi="Wingdings"/>
      </w:rPr>
    </w:lvl>
    <w:lvl w:ilvl="3" w:tplc="C3180AE2">
      <w:start w:val="1"/>
      <w:numFmt w:val="bullet"/>
      <w:lvlText w:val=""/>
      <w:lvlJc w:val="left"/>
      <w:pPr>
        <w:ind w:left="2880" w:hanging="360"/>
      </w:pPr>
      <w:rPr>
        <w:rFonts w:hint="default" w:ascii="Symbol" w:hAnsi="Symbol"/>
      </w:rPr>
    </w:lvl>
    <w:lvl w:ilvl="4" w:tplc="C4FC7E92">
      <w:start w:val="1"/>
      <w:numFmt w:val="bullet"/>
      <w:lvlText w:val="o"/>
      <w:lvlJc w:val="left"/>
      <w:pPr>
        <w:ind w:left="3600" w:hanging="360"/>
      </w:pPr>
      <w:rPr>
        <w:rFonts w:hint="default" w:ascii="Courier New" w:hAnsi="Courier New"/>
      </w:rPr>
    </w:lvl>
    <w:lvl w:ilvl="5" w:tplc="30523390">
      <w:start w:val="1"/>
      <w:numFmt w:val="bullet"/>
      <w:lvlText w:val=""/>
      <w:lvlJc w:val="left"/>
      <w:pPr>
        <w:ind w:left="4320" w:hanging="360"/>
      </w:pPr>
      <w:rPr>
        <w:rFonts w:hint="default" w:ascii="Wingdings" w:hAnsi="Wingdings"/>
      </w:rPr>
    </w:lvl>
    <w:lvl w:ilvl="6" w:tplc="A1746142">
      <w:start w:val="1"/>
      <w:numFmt w:val="bullet"/>
      <w:lvlText w:val=""/>
      <w:lvlJc w:val="left"/>
      <w:pPr>
        <w:ind w:left="5040" w:hanging="360"/>
      </w:pPr>
      <w:rPr>
        <w:rFonts w:hint="default" w:ascii="Symbol" w:hAnsi="Symbol"/>
      </w:rPr>
    </w:lvl>
    <w:lvl w:ilvl="7" w:tplc="7A0A7284">
      <w:start w:val="1"/>
      <w:numFmt w:val="bullet"/>
      <w:lvlText w:val="o"/>
      <w:lvlJc w:val="left"/>
      <w:pPr>
        <w:ind w:left="5760" w:hanging="360"/>
      </w:pPr>
      <w:rPr>
        <w:rFonts w:hint="default" w:ascii="Courier New" w:hAnsi="Courier New"/>
      </w:rPr>
    </w:lvl>
    <w:lvl w:ilvl="8" w:tplc="8EEC7D08">
      <w:start w:val="1"/>
      <w:numFmt w:val="bullet"/>
      <w:lvlText w:val=""/>
      <w:lvlJc w:val="left"/>
      <w:pPr>
        <w:ind w:left="6480" w:hanging="360"/>
      </w:pPr>
      <w:rPr>
        <w:rFonts w:hint="default" w:ascii="Wingdings" w:hAnsi="Wingdings"/>
      </w:rPr>
    </w:lvl>
  </w:abstractNum>
  <w:num w:numId="1" w16cid:durableId="1819490784">
    <w:abstractNumId w:val="0"/>
  </w:num>
  <w:num w:numId="2" w16cid:durableId="1355379441">
    <w:abstractNumId w:val="6"/>
  </w:num>
  <w:num w:numId="3" w16cid:durableId="17052367">
    <w:abstractNumId w:val="2"/>
  </w:num>
  <w:num w:numId="4" w16cid:durableId="810443863">
    <w:abstractNumId w:val="1"/>
  </w:num>
  <w:num w:numId="5" w16cid:durableId="55709171">
    <w:abstractNumId w:val="4"/>
  </w:num>
  <w:num w:numId="6" w16cid:durableId="852450814">
    <w:abstractNumId w:val="3"/>
  </w:num>
  <w:num w:numId="7" w16cid:durableId="20852550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Hodge">
    <w15:presenceInfo w15:providerId="AD" w15:userId="S::khodge@naeyc.org::20aa9f67-516d-47bd-a780-04c40368f678"/>
  </w15:person>
  <w15:person w15:author="Leslie Kerner">
    <w15:presenceInfo w15:providerId="AD" w15:userId="S::lkerner@naeyc.org::88f695c7-27a8-46b1-a399-ac9bcf3b4b8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B505B1"/>
    <w:rsid w:val="001BAC7E"/>
    <w:rsid w:val="003904CD"/>
    <w:rsid w:val="003C2DE1"/>
    <w:rsid w:val="003F5D55"/>
    <w:rsid w:val="00504A04"/>
    <w:rsid w:val="00532577"/>
    <w:rsid w:val="00591EFB"/>
    <w:rsid w:val="00610B09"/>
    <w:rsid w:val="00660AAD"/>
    <w:rsid w:val="00767CEF"/>
    <w:rsid w:val="00913214"/>
    <w:rsid w:val="0092201E"/>
    <w:rsid w:val="00982C12"/>
    <w:rsid w:val="00A53D71"/>
    <w:rsid w:val="00BE5F59"/>
    <w:rsid w:val="00CB08BE"/>
    <w:rsid w:val="00D6254B"/>
    <w:rsid w:val="00F918A2"/>
    <w:rsid w:val="00F97212"/>
    <w:rsid w:val="0311A25C"/>
    <w:rsid w:val="045D7D25"/>
    <w:rsid w:val="053B01C9"/>
    <w:rsid w:val="0C709010"/>
    <w:rsid w:val="0D35C393"/>
    <w:rsid w:val="0F3DC6E9"/>
    <w:rsid w:val="11440133"/>
    <w:rsid w:val="145D4FBE"/>
    <w:rsid w:val="14B505B1"/>
    <w:rsid w:val="16AA2094"/>
    <w:rsid w:val="1D8EB55B"/>
    <w:rsid w:val="28A40117"/>
    <w:rsid w:val="2997D653"/>
    <w:rsid w:val="2B5134F3"/>
    <w:rsid w:val="2BBAD1C1"/>
    <w:rsid w:val="2E11BA0C"/>
    <w:rsid w:val="2F55DB67"/>
    <w:rsid w:val="303E4665"/>
    <w:rsid w:val="307FF843"/>
    <w:rsid w:val="3260BAC9"/>
    <w:rsid w:val="38C08079"/>
    <w:rsid w:val="3A18EC55"/>
    <w:rsid w:val="3AD828C7"/>
    <w:rsid w:val="3B1221E0"/>
    <w:rsid w:val="3E2AFF68"/>
    <w:rsid w:val="416E6AB6"/>
    <w:rsid w:val="43FEAAF0"/>
    <w:rsid w:val="44FCCC25"/>
    <w:rsid w:val="489AFA21"/>
    <w:rsid w:val="50D65163"/>
    <w:rsid w:val="51268229"/>
    <w:rsid w:val="527221C4"/>
    <w:rsid w:val="52ACE6FB"/>
    <w:rsid w:val="5451639C"/>
    <w:rsid w:val="5A28BEE9"/>
    <w:rsid w:val="5A6D2A01"/>
    <w:rsid w:val="5BFE50C1"/>
    <w:rsid w:val="5DEBDCD4"/>
    <w:rsid w:val="62A649E0"/>
    <w:rsid w:val="6331128C"/>
    <w:rsid w:val="63E70850"/>
    <w:rsid w:val="654826C2"/>
    <w:rsid w:val="65A0E7E1"/>
    <w:rsid w:val="6643B17F"/>
    <w:rsid w:val="668E4F3C"/>
    <w:rsid w:val="66A4E6E8"/>
    <w:rsid w:val="6A9B44F9"/>
    <w:rsid w:val="7019E549"/>
    <w:rsid w:val="72C4C4D6"/>
    <w:rsid w:val="76808ADE"/>
    <w:rsid w:val="77DD8CE1"/>
    <w:rsid w:val="791ADDFD"/>
    <w:rsid w:val="79FA98FA"/>
    <w:rsid w:val="7A1ECCC0"/>
    <w:rsid w:val="7B470834"/>
    <w:rsid w:val="7C53F384"/>
    <w:rsid w:val="7CAEDA47"/>
    <w:rsid w:val="7CD1231A"/>
    <w:rsid w:val="7E3A650E"/>
    <w:rsid w:val="7FFBF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2508"/>
  <w15:docId w15:val="{D0FA24B5-5620-4E03-86DC-2380A16C55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outlineLvl w:val="0"/>
    </w:pPr>
    <w:rPr>
      <w:rFonts w:ascii="Calibri" w:hAnsi="Calibri" w:eastAsia="Calibri" w:cs="Calibri"/>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link w:val="Heading1Char"/>
    <w:uiPriority w:val="9"/>
    <w:qFormat/>
    <w:rsid w:val="004F7AC7"/>
    <w:pPr>
      <w:keepNext/>
      <w:keepLines/>
      <w:spacing w:before="240"/>
      <w:outlineLvl w:val="0"/>
    </w:pPr>
    <w:rPr>
      <w:rFonts w:asciiTheme="majorHAnsi" w:hAnsiTheme="majorHAnsi" w:eastAsiaTheme="majorEastAsia" w:cstheme="majorBidi"/>
      <w:color w:val="2E74B5" w:themeColor="accent1" w:themeShade="BF"/>
      <w:sz w:val="32"/>
      <w:szCs w:val="32"/>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4F7AC7"/>
    <w:pPr>
      <w:tabs>
        <w:tab w:val="center" w:pos="4680"/>
        <w:tab w:val="right" w:pos="9360"/>
      </w:tabs>
    </w:pPr>
  </w:style>
  <w:style w:type="character" w:styleId="HeaderChar" w:customStyle="1">
    <w:name w:val="Header Char"/>
    <w:basedOn w:val="DefaultParagraphFont"/>
    <w:link w:val="Header"/>
    <w:uiPriority w:val="99"/>
    <w:rsid w:val="004F7AC7"/>
  </w:style>
  <w:style w:type="paragraph" w:styleId="Footer">
    <w:name w:val="footer"/>
    <w:basedOn w:val="Normal0"/>
    <w:link w:val="FooterChar"/>
    <w:uiPriority w:val="99"/>
    <w:unhideWhenUsed/>
    <w:rsid w:val="004F7AC7"/>
    <w:pPr>
      <w:tabs>
        <w:tab w:val="center" w:pos="4680"/>
        <w:tab w:val="right" w:pos="9360"/>
      </w:tabs>
    </w:pPr>
  </w:style>
  <w:style w:type="character" w:styleId="FooterChar" w:customStyle="1">
    <w:name w:val="Footer Char"/>
    <w:basedOn w:val="DefaultParagraphFont"/>
    <w:link w:val="Footer"/>
    <w:uiPriority w:val="99"/>
    <w:rsid w:val="004F7AC7"/>
  </w:style>
  <w:style w:type="character" w:styleId="Heading1Char" w:customStyle="1">
    <w:name w:val="Heading 1 Char"/>
    <w:basedOn w:val="DefaultParagraphFont"/>
    <w:link w:val="heading10"/>
    <w:uiPriority w:val="9"/>
    <w:rsid w:val="004F7AC7"/>
    <w:rPr>
      <w:rFonts w:asciiTheme="majorHAnsi" w:hAnsiTheme="majorHAnsi" w:eastAsiaTheme="majorEastAsia" w:cstheme="majorBidi"/>
      <w:color w:val="2E74B5" w:themeColor="accent1" w:themeShade="BF"/>
      <w:sz w:val="32"/>
      <w:szCs w:val="32"/>
    </w:rPr>
  </w:style>
  <w:style w:type="paragraph" w:styleId="NormalWeb">
    <w:name w:val="Normal (Web)"/>
    <w:basedOn w:val="Normal0"/>
    <w:uiPriority w:val="99"/>
    <w:semiHidden/>
    <w:unhideWhenUsed/>
    <w:rsid w:val="004F7AC7"/>
    <w:pPr>
      <w:spacing w:before="100" w:beforeAutospacing="1" w:after="100" w:afterAutospacing="1"/>
    </w:pPr>
    <w:rPr>
      <w:rFonts w:ascii="Times New Roman" w:hAnsi="Times New Roman" w:cs="Times New Roman"/>
    </w:rPr>
  </w:style>
  <w:style w:type="paragraph" w:styleId="BasicParagraph" w:customStyle="1">
    <w:name w:val="[Basic Paragraph]"/>
    <w:basedOn w:val="Normal0"/>
    <w:uiPriority w:val="99"/>
    <w:rsid w:val="004F7AC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bullets" w:customStyle="1">
    <w:name w:val="bullets"/>
    <w:uiPriority w:val="99"/>
    <w:rsid w:val="004F7AC7"/>
    <w:rPr>
      <w:rFonts w:ascii="Graphik-Regular" w:hAnsi="Graphik-Regular" w:cs="Graphik-Regular"/>
      <w:color w:val="00769E"/>
      <w:sz w:val="14"/>
      <w:szCs w:val="14"/>
    </w:rPr>
  </w:style>
  <w:style w:type="character" w:styleId="Semibold" w:customStyle="1">
    <w:name w:val="Semibold"/>
    <w:uiPriority w:val="99"/>
    <w:rsid w:val="004F7AC7"/>
    <w:rPr>
      <w:rFonts w:ascii="Graphik-Semibold" w:hAnsi="Graphik-Semibold" w:cs="Graphik-Semibold"/>
      <w:spacing w:val="-3"/>
      <w:sz w:val="22"/>
      <w:szCs w:val="22"/>
    </w:rPr>
  </w:style>
  <w:style w:type="paragraph" w:styleId="BalloonText">
    <w:name w:val="Balloon Text"/>
    <w:basedOn w:val="Normal0"/>
    <w:link w:val="BalloonTextChar"/>
    <w:uiPriority w:val="99"/>
    <w:semiHidden/>
    <w:unhideWhenUsed/>
    <w:rsid w:val="00D001C1"/>
    <w:rPr>
      <w:rFonts w:ascii="Tahoma" w:hAnsi="Tahoma" w:cs="Tahoma"/>
      <w:sz w:val="16"/>
      <w:szCs w:val="16"/>
    </w:rPr>
  </w:style>
  <w:style w:type="character" w:styleId="BalloonTextChar" w:customStyle="1">
    <w:name w:val="Balloon Text Char"/>
    <w:basedOn w:val="DefaultParagraphFont"/>
    <w:link w:val="BalloonText"/>
    <w:uiPriority w:val="99"/>
    <w:semiHidden/>
    <w:rsid w:val="00D001C1"/>
    <w:rPr>
      <w:rFonts w:ascii="Tahoma" w:hAnsi="Tahoma" w:cs="Tahoma"/>
      <w:sz w:val="16"/>
      <w:szCs w:val="16"/>
    </w:rPr>
  </w:style>
  <w:style w:type="paragraph" w:styleId="ListParagraph">
    <w:name w:val="List Paragraph"/>
    <w:basedOn w:val="Normal0"/>
    <w:uiPriority w:val="34"/>
    <w:qFormat/>
    <w:rsid w:val="00C7146F"/>
    <w:pPr>
      <w:ind w:left="720"/>
      <w:contextualSpacing/>
    </w:pPr>
  </w:style>
  <w:style w:type="character" w:styleId="CommentReference">
    <w:name w:val="annotation reference"/>
    <w:basedOn w:val="DefaultParagraphFont"/>
    <w:uiPriority w:val="99"/>
    <w:semiHidden/>
    <w:unhideWhenUsed/>
    <w:rsid w:val="004A6850"/>
    <w:rPr>
      <w:sz w:val="16"/>
      <w:szCs w:val="16"/>
    </w:rPr>
  </w:style>
  <w:style w:type="paragraph" w:styleId="CommentText">
    <w:name w:val="annotation text"/>
    <w:basedOn w:val="Normal0"/>
    <w:link w:val="CommentTextChar"/>
    <w:uiPriority w:val="99"/>
    <w:unhideWhenUsed/>
    <w:rsid w:val="004A6850"/>
    <w:rPr>
      <w:sz w:val="20"/>
      <w:szCs w:val="20"/>
    </w:rPr>
  </w:style>
  <w:style w:type="character" w:styleId="CommentTextChar" w:customStyle="1">
    <w:name w:val="Comment Text Char"/>
    <w:basedOn w:val="DefaultParagraphFont"/>
    <w:link w:val="CommentText"/>
    <w:uiPriority w:val="99"/>
    <w:rsid w:val="004A6850"/>
    <w:rPr>
      <w:sz w:val="20"/>
      <w:szCs w:val="20"/>
    </w:rPr>
  </w:style>
  <w:style w:type="paragraph" w:styleId="CommentSubject">
    <w:name w:val="annotation subject"/>
    <w:basedOn w:val="CommentText"/>
    <w:next w:val="CommentText"/>
    <w:link w:val="CommentSubjectChar"/>
    <w:uiPriority w:val="99"/>
    <w:semiHidden/>
    <w:unhideWhenUsed/>
    <w:rsid w:val="004A6850"/>
    <w:rPr>
      <w:b/>
      <w:bCs/>
    </w:rPr>
  </w:style>
  <w:style w:type="character" w:styleId="CommentSubjectChar" w:customStyle="1">
    <w:name w:val="Comment Subject Char"/>
    <w:basedOn w:val="CommentTextChar"/>
    <w:link w:val="CommentSubject"/>
    <w:uiPriority w:val="99"/>
    <w:semiHidden/>
    <w:rsid w:val="004A6850"/>
    <w:rPr>
      <w:b/>
      <w:bCs/>
      <w:sz w:val="20"/>
      <w:szCs w:val="20"/>
    </w:rPr>
  </w:style>
  <w:style w:type="paragraph" w:styleId="NoSpacing">
    <w:name w:val="No Spacing"/>
    <w:uiPriority w:val="1"/>
    <w:qFormat/>
    <w:rsid w:val="00D46580"/>
  </w:style>
  <w:style w:type="table" w:styleId="TableGrid">
    <w:name w:val="Table Grid"/>
    <w:basedOn w:val="NormalTable0"/>
    <w:uiPriority w:val="39"/>
    <w:rsid w:val="009F3C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127D7"/>
    <w:rPr>
      <w:color w:val="0563C1" w:themeColor="hyperlink"/>
      <w:u w:val="single"/>
    </w:rPr>
  </w:style>
  <w:style w:type="character" w:styleId="UnresolvedMention">
    <w:name w:val="Unresolved Mention"/>
    <w:basedOn w:val="DefaultParagraphFont"/>
    <w:uiPriority w:val="99"/>
    <w:semiHidden/>
    <w:unhideWhenUsed/>
    <w:rsid w:val="004127D7"/>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top w:w="15" w:type="dxa"/>
        <w:left w:w="15" w:type="dxa"/>
        <w:bottom w:w="15" w:type="dxa"/>
        <w:right w:w="15" w:type="dxa"/>
      </w:tblCellMar>
    </w:tblPr>
  </w:style>
  <w:style w:type="table" w:styleId="a1" w:customStyle="1">
    <w:basedOn w:val="NormalTable0"/>
    <w:tblPr>
      <w:tblStyleRowBandSize w:val="1"/>
      <w:tblStyleColBandSize w:val="1"/>
    </w:tblPr>
  </w:style>
  <w:style w:type="table" w:styleId="a2" w:customStyle="1">
    <w:basedOn w:val="NormalTable0"/>
    <w:tblPr>
      <w:tblStyleRowBandSize w:val="1"/>
      <w:tblStyleColBandSize w:val="1"/>
    </w:tblPr>
  </w:style>
  <w:style w:type="table" w:styleId="a3" w:customStyle="1">
    <w:basedOn w:val="NormalTable0"/>
    <w:tblPr>
      <w:tblStyleRowBandSize w:val="1"/>
      <w:tblStyleColBandSize w:val="1"/>
      <w:tblCellMar>
        <w:top w:w="15" w:type="dxa"/>
        <w:left w:w="15" w:type="dxa"/>
        <w:bottom w:w="15" w:type="dxa"/>
        <w:right w:w="15"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ccreditation.information@naeyc.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F646AAC-C383-4B3D-9062-3D38DC3A3DEC}">
    <t:Anchor>
      <t:Comment id="875344911"/>
    </t:Anchor>
    <t:History>
      <t:Event id="{7AEE9814-E0BA-4982-AF53-E4EE02EB2C51}" time="2024-05-16T16:27:11.613Z">
        <t:Attribution userId="S::khodge@naeyc.org::20aa9f67-516d-47bd-a780-04c40368f678" userProvider="AD" userName="Kim Hodge"/>
        <t:Anchor>
          <t:Comment id="875344911"/>
        </t:Anchor>
        <t:Create/>
      </t:Event>
      <t:Event id="{F8BC50CD-B132-4C13-9346-E6913FB77C96}" time="2024-05-16T16:27:11.613Z">
        <t:Attribution userId="S::khodge@naeyc.org::20aa9f67-516d-47bd-a780-04c40368f678" userProvider="AD" userName="Kim Hodge"/>
        <t:Anchor>
          <t:Comment id="875344911"/>
        </t:Anchor>
        <t:Assign userId="S::lkerner@naeyc.org::88f695c7-27a8-46b1-a399-ac9bcf3b4b8a" userProvider="AD" userName="Leslie Kerner"/>
      </t:Event>
      <t:Event id="{0C5D6799-553E-4120-99C8-420CD1BF1D9F}" time="2024-05-16T16:27:11.613Z">
        <t:Attribution userId="S::khodge@naeyc.org::20aa9f67-516d-47bd-a780-04c40368f678" userProvider="AD" userName="Kim Hodge"/>
        <t:Anchor>
          <t:Comment id="875344911"/>
        </t:Anchor>
        <t:SetTitle title="@Leslie Kerner Please review and edit as you see fit! Recommended addition: &quot;All information and evidence within the SWPP will remain confidential and only shared internally to support the assessment process. NAEYC will not share contents of any SWPP …"/>
      </t:Event>
      <t:Event id="{C3854E41-CEA1-4C9E-BFA2-47C03A9F4BDF}" time="2024-05-30T20:05:10.895Z">
        <t:Attribution userId="S::khodge@naeyc.org::20aa9f67-516d-47bd-a780-04c40368f678" userProvider="AD" userName="Kim Hodge"/>
        <t:Progress percentComplete="100"/>
      </t:Event>
      <t:Event id="{767B7C49-637E-4A5B-8392-AF0B17FF6A6C}" time="2024-05-30T20:05:35.145Z">
        <t:Attribution userId="S::khodge@naeyc.org::20aa9f67-516d-47bd-a780-04c40368f678" userProvider="AD" userName="Kim Hodge"/>
        <t:Progress percentComplete="0"/>
      </t:Event>
      <t:Event id="{0A9487F5-93FD-4BB8-8ACE-8184FF644E81}" time="2024-07-30T13:51:13.495Z">
        <t:Attribution userId="S::khodge@naeyc.org::20aa9f67-516d-47bd-a780-04c40368f678" userProvider="AD" userName="Kim Hod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WEUP3m0On8LtogXqLvTP0CxNg==">AMUW2mWG1oZqpuxqxG1aAon48so4YuvhvyBiOmeCE8SWEbDkq2qSY0JUF4PzmWuRXZg102P6VzHBNep3MFWZWopM67ekB7By2auHNNu09eSicqf7wyrxuEI=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959D6C08C705647946A520ACCBAE27F" ma:contentTypeVersion="9" ma:contentTypeDescription="Create a new document." ma:contentTypeScope="" ma:versionID="335d517b183c6c82fd9dfa68b85b5685">
  <xsd:schema xmlns:xsd="http://www.w3.org/2001/XMLSchema" xmlns:xs="http://www.w3.org/2001/XMLSchema" xmlns:p="http://schemas.microsoft.com/office/2006/metadata/properties" xmlns:ns2="93f7204d-94e8-457b-ad06-f91b16ded8c1" xmlns:ns3="04d7f812-27fb-417a-9c0a-4cc3d2b39208" targetNamespace="http://schemas.microsoft.com/office/2006/metadata/properties" ma:root="true" ma:fieldsID="77ccb4003197ceaa00f7f4bc0612a1aa" ns2:_="" ns3:_="">
    <xsd:import namespace="93f7204d-94e8-457b-ad06-f91b16ded8c1"/>
    <xsd:import namespace="04d7f812-27fb-417a-9c0a-4cc3d2b392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7204d-94e8-457b-ad06-f91b16ded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7f812-27fb-417a-9c0a-4cc3d2b392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B3E81A8-A99A-4850-847E-6F346F2D2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7204d-94e8-457b-ad06-f91b16ded8c1"/>
    <ds:schemaRef ds:uri="04d7f812-27fb-417a-9c0a-4cc3d2b39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5D7BD-5092-4351-AB48-F182CCA19559}">
  <ds:schemaRefs>
    <ds:schemaRef ds:uri="http://schemas.microsoft.com/office/2006/metadata/properties"/>
    <ds:schemaRef ds:uri="http://purl.org/dc/elements/1.1/"/>
    <ds:schemaRef ds:uri="http://purl.org/dc/terms/"/>
    <ds:schemaRef ds:uri="04d7f812-27fb-417a-9c0a-4cc3d2b39208"/>
    <ds:schemaRef ds:uri="http://purl.org/dc/dcmitype/"/>
    <ds:schemaRef ds:uri="93f7204d-94e8-457b-ad06-f91b16ded8c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6592CFA-A437-466F-BEB0-E4A96B8502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Kim Hodge</lastModifiedBy>
  <revision>17</revision>
  <dcterms:created xsi:type="dcterms:W3CDTF">2023-07-28T20:28:00.0000000Z</dcterms:created>
  <dcterms:modified xsi:type="dcterms:W3CDTF">2024-07-30T13:52:52.4385462Z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0x0101004959D6C08C705647946A520ACCBAE27F</vt:lpwstr>
  </property>
  <property fmtid="{D5CDD505-2E9C-101B-9397-08002B2CF9AE}" pid="3" name="Order">
    <vt:r8>103468300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